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59EE" w14:textId="77777777" w:rsidR="00BC723D" w:rsidRDefault="00BC723D" w:rsidP="00BC723D">
      <w:pPr>
        <w:pStyle w:val="Heading1"/>
      </w:pPr>
      <w:r>
        <w:t>Summary</w:t>
      </w:r>
      <w:r>
        <w:rPr>
          <w:spacing w:val="-14"/>
        </w:rPr>
        <w:t xml:space="preserve"> </w:t>
      </w:r>
      <w:r>
        <w:t>of</w:t>
      </w:r>
      <w:r>
        <w:rPr>
          <w:spacing w:val="-11"/>
        </w:rPr>
        <w:t xml:space="preserve"> </w:t>
      </w:r>
      <w:r>
        <w:t>Research</w:t>
      </w:r>
      <w:r>
        <w:rPr>
          <w:spacing w:val="-10"/>
        </w:rPr>
        <w:t xml:space="preserve"> </w:t>
      </w:r>
      <w:r>
        <w:t>Related</w:t>
      </w:r>
      <w:r>
        <w:rPr>
          <w:spacing w:val="-9"/>
        </w:rPr>
        <w:t xml:space="preserve"> </w:t>
      </w:r>
      <w:r>
        <w:t>to</w:t>
      </w:r>
      <w:r>
        <w:rPr>
          <w:spacing w:val="-9"/>
        </w:rPr>
        <w:t xml:space="preserve"> </w:t>
      </w:r>
      <w:r>
        <w:t>Use</w:t>
      </w:r>
      <w:r>
        <w:rPr>
          <w:spacing w:val="-11"/>
        </w:rPr>
        <w:t xml:space="preserve"> </w:t>
      </w:r>
      <w:r>
        <w:t>of</w:t>
      </w:r>
      <w:r>
        <w:rPr>
          <w:spacing w:val="-13"/>
        </w:rPr>
        <w:t xml:space="preserve"> </w:t>
      </w:r>
      <w:r>
        <w:t>Ambient</w:t>
      </w:r>
      <w:r>
        <w:rPr>
          <w:spacing w:val="-10"/>
        </w:rPr>
        <w:t xml:space="preserve"> </w:t>
      </w:r>
      <w:r>
        <w:t>Intelligence</w:t>
      </w:r>
      <w:r>
        <w:rPr>
          <w:spacing w:val="-13"/>
        </w:rPr>
        <w:t xml:space="preserve"> </w:t>
      </w:r>
      <w:r>
        <w:t>Tools</w:t>
      </w:r>
      <w:r>
        <w:rPr>
          <w:spacing w:val="-10"/>
        </w:rPr>
        <w:t xml:space="preserve"> </w:t>
      </w:r>
      <w:r>
        <w:t>in</w:t>
      </w:r>
      <w:r>
        <w:rPr>
          <w:spacing w:val="-9"/>
        </w:rPr>
        <w:t xml:space="preserve"> </w:t>
      </w:r>
      <w:r>
        <w:t>Clinical</w:t>
      </w:r>
      <w:r>
        <w:rPr>
          <w:spacing w:val="-10"/>
        </w:rPr>
        <w:t xml:space="preserve"> </w:t>
      </w:r>
      <w:r>
        <w:rPr>
          <w:spacing w:val="-2"/>
        </w:rPr>
        <w:t>Settings</w:t>
      </w:r>
    </w:p>
    <w:p w14:paraId="4DC2F519" w14:textId="77777777" w:rsidR="00BC723D" w:rsidRDefault="00BC723D" w:rsidP="00BC723D">
      <w:pPr>
        <w:pStyle w:val="BodyText"/>
      </w:pPr>
      <w:r w:rsidRPr="00D16568">
        <w:rPr>
          <w:b/>
          <w:bCs/>
        </w:rPr>
        <w:t>There</w:t>
      </w:r>
      <w:r w:rsidRPr="00D16568">
        <w:rPr>
          <w:b/>
          <w:bCs/>
          <w:spacing w:val="-3"/>
        </w:rPr>
        <w:t xml:space="preserve"> </w:t>
      </w:r>
      <w:r w:rsidRPr="00D16568">
        <w:rPr>
          <w:b/>
          <w:bCs/>
        </w:rPr>
        <w:t>is</w:t>
      </w:r>
      <w:r w:rsidRPr="00D16568">
        <w:rPr>
          <w:b/>
          <w:bCs/>
          <w:spacing w:val="-3"/>
        </w:rPr>
        <w:t xml:space="preserve"> </w:t>
      </w:r>
      <w:r w:rsidRPr="00D16568">
        <w:rPr>
          <w:b/>
          <w:bCs/>
        </w:rPr>
        <w:t>no</w:t>
      </w:r>
      <w:r w:rsidRPr="00D16568">
        <w:rPr>
          <w:b/>
          <w:bCs/>
          <w:spacing w:val="-1"/>
        </w:rPr>
        <w:t xml:space="preserve"> </w:t>
      </w:r>
      <w:r w:rsidRPr="00D16568">
        <w:rPr>
          <w:b/>
          <w:bCs/>
        </w:rPr>
        <w:t>New</w:t>
      </w:r>
      <w:r w:rsidRPr="00D16568">
        <w:rPr>
          <w:b/>
          <w:bCs/>
          <w:spacing w:val="-11"/>
        </w:rPr>
        <w:t xml:space="preserve"> </w:t>
      </w:r>
      <w:r w:rsidRPr="00D16568">
        <w:rPr>
          <w:b/>
          <w:bCs/>
        </w:rPr>
        <w:t>York</w:t>
      </w:r>
      <w:r w:rsidRPr="00D16568">
        <w:rPr>
          <w:b/>
          <w:bCs/>
          <w:spacing w:val="-3"/>
        </w:rPr>
        <w:t xml:space="preserve"> </w:t>
      </w:r>
      <w:r w:rsidRPr="00D16568">
        <w:rPr>
          <w:b/>
          <w:bCs/>
        </w:rPr>
        <w:t>law</w:t>
      </w:r>
      <w:r w:rsidRPr="00D16568">
        <w:rPr>
          <w:b/>
          <w:bCs/>
          <w:spacing w:val="-3"/>
        </w:rPr>
        <w:t xml:space="preserve"> </w:t>
      </w:r>
      <w:r w:rsidRPr="00D16568">
        <w:rPr>
          <w:b/>
          <w:bCs/>
        </w:rPr>
        <w:t>or</w:t>
      </w:r>
      <w:r w:rsidRPr="00D16568">
        <w:rPr>
          <w:b/>
          <w:bCs/>
          <w:spacing w:val="-7"/>
        </w:rPr>
        <w:t xml:space="preserve"> </w:t>
      </w:r>
      <w:r w:rsidRPr="00D16568">
        <w:rPr>
          <w:b/>
          <w:bCs/>
        </w:rPr>
        <w:t>regulation</w:t>
      </w:r>
      <w:r w:rsidRPr="00D16568">
        <w:rPr>
          <w:b/>
          <w:bCs/>
          <w:spacing w:val="-3"/>
        </w:rPr>
        <w:t xml:space="preserve"> </w:t>
      </w:r>
      <w:r w:rsidRPr="00D16568">
        <w:rPr>
          <w:b/>
          <w:bCs/>
        </w:rPr>
        <w:t>addressing</w:t>
      </w:r>
      <w:r w:rsidRPr="00D16568">
        <w:rPr>
          <w:b/>
          <w:bCs/>
          <w:spacing w:val="-2"/>
        </w:rPr>
        <w:t xml:space="preserve"> </w:t>
      </w:r>
      <w:r w:rsidRPr="00D16568">
        <w:rPr>
          <w:b/>
          <w:bCs/>
        </w:rPr>
        <w:t>the</w:t>
      </w:r>
      <w:r w:rsidRPr="00D16568">
        <w:rPr>
          <w:b/>
          <w:bCs/>
          <w:spacing w:val="-3"/>
        </w:rPr>
        <w:t xml:space="preserve"> </w:t>
      </w:r>
      <w:r w:rsidRPr="00D16568">
        <w:rPr>
          <w:b/>
          <w:bCs/>
        </w:rPr>
        <w:t>use</w:t>
      </w:r>
      <w:r w:rsidRPr="00D16568">
        <w:rPr>
          <w:b/>
          <w:bCs/>
          <w:spacing w:val="-3"/>
        </w:rPr>
        <w:t xml:space="preserve"> </w:t>
      </w:r>
      <w:r w:rsidRPr="00D16568">
        <w:rPr>
          <w:b/>
          <w:bCs/>
        </w:rPr>
        <w:t>of</w:t>
      </w:r>
      <w:r w:rsidRPr="00D16568">
        <w:rPr>
          <w:b/>
          <w:bCs/>
          <w:spacing w:val="-3"/>
        </w:rPr>
        <w:t xml:space="preserve"> </w:t>
      </w:r>
      <w:r w:rsidRPr="00D16568">
        <w:rPr>
          <w:b/>
          <w:bCs/>
        </w:rPr>
        <w:t>ambient</w:t>
      </w:r>
      <w:r w:rsidRPr="00D16568">
        <w:rPr>
          <w:b/>
          <w:bCs/>
          <w:spacing w:val="-3"/>
        </w:rPr>
        <w:t xml:space="preserve"> </w:t>
      </w:r>
      <w:r w:rsidRPr="00D16568">
        <w:rPr>
          <w:b/>
          <w:bCs/>
        </w:rPr>
        <w:t>intelligence</w:t>
      </w:r>
      <w:r w:rsidRPr="00D16568">
        <w:rPr>
          <w:b/>
          <w:bCs/>
          <w:spacing w:val="-3"/>
        </w:rPr>
        <w:t xml:space="preserve"> </w:t>
      </w:r>
      <w:r w:rsidRPr="00D16568">
        <w:rPr>
          <w:b/>
          <w:bCs/>
        </w:rPr>
        <w:t>tools</w:t>
      </w:r>
      <w:r w:rsidRPr="00D16568">
        <w:rPr>
          <w:b/>
          <w:bCs/>
          <w:spacing w:val="-3"/>
        </w:rPr>
        <w:t xml:space="preserve"> </w:t>
      </w:r>
      <w:r w:rsidRPr="00D16568">
        <w:rPr>
          <w:b/>
          <w:bCs/>
        </w:rPr>
        <w:t>generally</w:t>
      </w:r>
      <w:r w:rsidRPr="00D16568">
        <w:rPr>
          <w:b/>
          <w:bCs/>
          <w:spacing w:val="-2"/>
        </w:rPr>
        <w:t xml:space="preserve"> </w:t>
      </w:r>
      <w:r w:rsidRPr="00D16568">
        <w:rPr>
          <w:b/>
          <w:bCs/>
        </w:rPr>
        <w:t>or in clinical settings, specifically.</w:t>
      </w:r>
      <w:r>
        <w:t xml:space="preserve"> New</w:t>
      </w:r>
      <w:r>
        <w:rPr>
          <w:spacing w:val="-1"/>
        </w:rPr>
        <w:t xml:space="preserve"> </w:t>
      </w:r>
      <w:r>
        <w:t>York regulates the recording of conversations under the NY Penal Law</w:t>
      </w:r>
      <w:r>
        <w:rPr>
          <w:spacing w:val="-14"/>
        </w:rPr>
        <w:t xml:space="preserve"> </w:t>
      </w:r>
      <w:r>
        <w:t>eavesdropping provisions,</w:t>
      </w:r>
      <w:r>
        <w:rPr>
          <w:spacing w:val="-14"/>
        </w:rPr>
        <w:t xml:space="preserve"> </w:t>
      </w:r>
      <w:r>
        <w:t>which</w:t>
      </w:r>
      <w:r>
        <w:rPr>
          <w:spacing w:val="-13"/>
        </w:rPr>
        <w:t xml:space="preserve"> </w:t>
      </w:r>
      <w:r>
        <w:t>make</w:t>
      </w:r>
      <w:r w:rsidRPr="002919A2">
        <w:t xml:space="preserve"> </w:t>
      </w:r>
      <w:r>
        <w:t>it</w:t>
      </w:r>
      <w:r>
        <w:rPr>
          <w:spacing w:val="-14"/>
        </w:rPr>
        <w:t xml:space="preserve"> </w:t>
      </w:r>
      <w:r>
        <w:t>a</w:t>
      </w:r>
      <w:r>
        <w:rPr>
          <w:spacing w:val="-14"/>
        </w:rPr>
        <w:t xml:space="preserve"> </w:t>
      </w:r>
      <w:r>
        <w:t>felony</w:t>
      </w:r>
      <w:r>
        <w:rPr>
          <w:spacing w:val="-13"/>
        </w:rPr>
        <w:t xml:space="preserve"> </w:t>
      </w:r>
      <w:r>
        <w:t>to</w:t>
      </w:r>
      <w:r>
        <w:rPr>
          <w:spacing w:val="-14"/>
        </w:rPr>
        <w:t xml:space="preserve"> </w:t>
      </w:r>
      <w:r>
        <w:t>“unlawfully</w:t>
      </w:r>
      <w:r>
        <w:rPr>
          <w:spacing w:val="-14"/>
        </w:rPr>
        <w:t xml:space="preserve"> </w:t>
      </w:r>
      <w:r>
        <w:t>engage[]</w:t>
      </w:r>
      <w:r>
        <w:rPr>
          <w:spacing w:val="-14"/>
        </w:rPr>
        <w:t xml:space="preserve"> </w:t>
      </w:r>
      <w:r>
        <w:t>in</w:t>
      </w:r>
      <w:r>
        <w:rPr>
          <w:spacing w:val="-13"/>
        </w:rPr>
        <w:t xml:space="preserve"> </w:t>
      </w:r>
      <w:r>
        <w:t>wiretapping,</w:t>
      </w:r>
      <w:r>
        <w:rPr>
          <w:spacing w:val="-14"/>
        </w:rPr>
        <w:t xml:space="preserve"> </w:t>
      </w:r>
      <w:r>
        <w:t>mechanical overhearing</w:t>
      </w:r>
      <w:r>
        <w:rPr>
          <w:spacing w:val="-10"/>
        </w:rPr>
        <w:t xml:space="preserve"> </w:t>
      </w:r>
      <w:r>
        <w:t>of</w:t>
      </w:r>
      <w:r>
        <w:rPr>
          <w:spacing w:val="-11"/>
        </w:rPr>
        <w:t xml:space="preserve"> </w:t>
      </w:r>
      <w:r>
        <w:t>a</w:t>
      </w:r>
      <w:r>
        <w:rPr>
          <w:spacing w:val="-11"/>
        </w:rPr>
        <w:t xml:space="preserve"> </w:t>
      </w:r>
      <w:r>
        <w:t>conversation,</w:t>
      </w:r>
      <w:r>
        <w:rPr>
          <w:spacing w:val="-10"/>
        </w:rPr>
        <w:t xml:space="preserve"> </w:t>
      </w:r>
      <w:r>
        <w:t>or</w:t>
      </w:r>
      <w:r>
        <w:rPr>
          <w:spacing w:val="-11"/>
        </w:rPr>
        <w:t xml:space="preserve"> </w:t>
      </w:r>
      <w:r>
        <w:t>intercepting</w:t>
      </w:r>
      <w:r>
        <w:rPr>
          <w:spacing w:val="-11"/>
        </w:rPr>
        <w:t xml:space="preserve"> </w:t>
      </w:r>
      <w:r>
        <w:t>or</w:t>
      </w:r>
      <w:r>
        <w:rPr>
          <w:spacing w:val="-11"/>
        </w:rPr>
        <w:t xml:space="preserve"> </w:t>
      </w:r>
      <w:r>
        <w:t>accessing</w:t>
      </w:r>
      <w:r>
        <w:rPr>
          <w:spacing w:val="-10"/>
        </w:rPr>
        <w:t xml:space="preserve"> </w:t>
      </w:r>
      <w:r>
        <w:t>of</w:t>
      </w:r>
      <w:r>
        <w:rPr>
          <w:spacing w:val="-11"/>
        </w:rPr>
        <w:t xml:space="preserve"> </w:t>
      </w:r>
      <w:r>
        <w:t>an</w:t>
      </w:r>
      <w:r>
        <w:rPr>
          <w:spacing w:val="-10"/>
        </w:rPr>
        <w:t xml:space="preserve"> </w:t>
      </w:r>
      <w:r>
        <w:t>electronic</w:t>
      </w:r>
      <w:r>
        <w:rPr>
          <w:spacing w:val="-11"/>
        </w:rPr>
        <w:t xml:space="preserve"> </w:t>
      </w:r>
      <w:r>
        <w:t>communication.”</w:t>
      </w:r>
      <w:r>
        <w:rPr>
          <w:rStyle w:val="FootnoteReference"/>
        </w:rPr>
        <w:footnoteReference w:id="1"/>
      </w:r>
      <w:r>
        <w:rPr>
          <w:spacing w:val="-10"/>
        </w:rPr>
        <w:t xml:space="preserve"> </w:t>
      </w:r>
      <w:r>
        <w:t>Each</w:t>
      </w:r>
      <w:r>
        <w:rPr>
          <w:spacing w:val="-10"/>
        </w:rPr>
        <w:t xml:space="preserve"> </w:t>
      </w:r>
      <w:r>
        <w:t>of</w:t>
      </w:r>
      <w:r>
        <w:rPr>
          <w:spacing w:val="-11"/>
        </w:rPr>
        <w:t xml:space="preserve"> </w:t>
      </w:r>
      <w:r>
        <w:t xml:space="preserve">these constitutes “eavesdropping” and each is defined to apply to situations in which </w:t>
      </w:r>
      <w:r>
        <w:rPr>
          <w:i/>
        </w:rPr>
        <w:t xml:space="preserve">at least one party to a conversation does not consent </w:t>
      </w:r>
      <w:r>
        <w:t>to the overhearing or recording of the conversation, meaning New</w:t>
      </w:r>
      <w:r>
        <w:rPr>
          <w:spacing w:val="-3"/>
        </w:rPr>
        <w:t xml:space="preserve"> </w:t>
      </w:r>
      <w:r>
        <w:t>York is generally</w:t>
      </w:r>
      <w:r>
        <w:rPr>
          <w:spacing w:val="-1"/>
        </w:rPr>
        <w:t xml:space="preserve"> </w:t>
      </w:r>
      <w:r>
        <w:t>a</w:t>
      </w:r>
      <w:r>
        <w:rPr>
          <w:spacing w:val="-1"/>
        </w:rPr>
        <w:t xml:space="preserve"> </w:t>
      </w:r>
      <w:r>
        <w:t>“one-party consent”</w:t>
      </w:r>
      <w:r>
        <w:rPr>
          <w:spacing w:val="-1"/>
        </w:rPr>
        <w:t xml:space="preserve"> </w:t>
      </w:r>
      <w:r>
        <w:t>state.</w:t>
      </w:r>
      <w:r>
        <w:rPr>
          <w:rStyle w:val="FootnoteReference"/>
        </w:rPr>
        <w:footnoteReference w:id="2"/>
      </w:r>
      <w:r>
        <w:rPr>
          <w:spacing w:val="-6"/>
        </w:rPr>
        <w:t xml:space="preserve"> </w:t>
      </w:r>
      <w:r>
        <w:t>Thus,</w:t>
      </w:r>
      <w:r>
        <w:rPr>
          <w:spacing w:val="-1"/>
        </w:rPr>
        <w:t xml:space="preserve"> </w:t>
      </w:r>
      <w:r>
        <w:t>if</w:t>
      </w:r>
      <w:r>
        <w:rPr>
          <w:spacing w:val="-2"/>
        </w:rPr>
        <w:t xml:space="preserve"> </w:t>
      </w:r>
      <w:r>
        <w:t>a</w:t>
      </w:r>
      <w:r>
        <w:rPr>
          <w:spacing w:val="-1"/>
        </w:rPr>
        <w:t xml:space="preserve"> </w:t>
      </w:r>
      <w:r>
        <w:t>provider</w:t>
      </w:r>
      <w:r>
        <w:rPr>
          <w:spacing w:val="-1"/>
        </w:rPr>
        <w:t xml:space="preserve"> </w:t>
      </w:r>
      <w:r>
        <w:t>consents</w:t>
      </w:r>
      <w:r>
        <w:rPr>
          <w:spacing w:val="-1"/>
        </w:rPr>
        <w:t xml:space="preserve"> </w:t>
      </w:r>
      <w:r>
        <w:t>to the</w:t>
      </w:r>
      <w:r>
        <w:rPr>
          <w:spacing w:val="-3"/>
        </w:rPr>
        <w:t xml:space="preserve"> </w:t>
      </w:r>
      <w:r>
        <w:t>use</w:t>
      </w:r>
      <w:r>
        <w:rPr>
          <w:spacing w:val="-1"/>
        </w:rPr>
        <w:t xml:space="preserve"> </w:t>
      </w:r>
      <w:r>
        <w:t>of</w:t>
      </w:r>
      <w:r>
        <w:rPr>
          <w:spacing w:val="-2"/>
        </w:rPr>
        <w:t xml:space="preserve"> </w:t>
      </w:r>
      <w:r>
        <w:t>ambient</w:t>
      </w:r>
      <w:r>
        <w:rPr>
          <w:spacing w:val="-1"/>
        </w:rPr>
        <w:t xml:space="preserve"> </w:t>
      </w:r>
      <w:r>
        <w:t>intelligence</w:t>
      </w:r>
      <w:r>
        <w:rPr>
          <w:spacing w:val="-3"/>
        </w:rPr>
        <w:t xml:space="preserve"> </w:t>
      </w:r>
      <w:r>
        <w:t>tools in their clinical encounters, any overhearing, recording, transcription, or other collection of the provider’s conversations with patients would not violate New</w:t>
      </w:r>
      <w:r>
        <w:rPr>
          <w:spacing w:val="-1"/>
        </w:rPr>
        <w:t xml:space="preserve"> </w:t>
      </w:r>
      <w:r>
        <w:t>York’s eavesdropping laws.</w:t>
      </w:r>
    </w:p>
    <w:p w14:paraId="4B41A0D0" w14:textId="77777777" w:rsidR="00BC723D" w:rsidRDefault="00BC723D" w:rsidP="00BC723D">
      <w:pPr>
        <w:pStyle w:val="Bullet1"/>
      </w:pPr>
      <w:r>
        <w:t>“</w:t>
      </w:r>
      <w:r w:rsidRPr="00D16568">
        <w:rPr>
          <w:b/>
          <w:i/>
        </w:rPr>
        <w:t>Wiretapping</w:t>
      </w:r>
      <w:r>
        <w:t>” means “the intentional overhearing or recording of a telephonic or telegraphic communication by a person other than a sender or receiver thereof, without the consent of either the sender or receiver, by means of any instrument, device or equipment.”</w:t>
      </w:r>
      <w:r>
        <w:rPr>
          <w:rStyle w:val="FootnoteReference"/>
        </w:rPr>
        <w:footnoteReference w:id="3"/>
      </w:r>
      <w:r>
        <w:t xml:space="preserve"> “Telephonic communication” requires a transfer containing a “human voice” by use of “wire, cable, or other like connection between the point of origin and the point of reception (including the use of such connection in a switching station) furnished or operated by any person engaged in providing or operating such facilities for the transmission of communications” and “any electronic storage of such</w:t>
      </w:r>
      <w:r w:rsidRPr="00D16568">
        <w:rPr>
          <w:spacing w:val="-5"/>
        </w:rPr>
        <w:t xml:space="preserve"> </w:t>
      </w:r>
      <w:r>
        <w:t>communications.”</w:t>
      </w:r>
      <w:r>
        <w:rPr>
          <w:rStyle w:val="FootnoteReference"/>
        </w:rPr>
        <w:footnoteReference w:id="4"/>
      </w:r>
      <w:r w:rsidRPr="00D16568">
        <w:rPr>
          <w:spacing w:val="-9"/>
        </w:rPr>
        <w:t xml:space="preserve"> </w:t>
      </w:r>
      <w:r>
        <w:t>This</w:t>
      </w:r>
      <w:r w:rsidRPr="00D16568">
        <w:rPr>
          <w:spacing w:val="-6"/>
        </w:rPr>
        <w:t xml:space="preserve"> </w:t>
      </w:r>
      <w:r>
        <w:t>includes</w:t>
      </w:r>
      <w:r w:rsidRPr="00D16568">
        <w:rPr>
          <w:spacing w:val="-6"/>
        </w:rPr>
        <w:t xml:space="preserve"> </w:t>
      </w:r>
      <w:r>
        <w:t>transfers</w:t>
      </w:r>
      <w:r w:rsidRPr="00D16568">
        <w:rPr>
          <w:spacing w:val="-6"/>
        </w:rPr>
        <w:t xml:space="preserve"> </w:t>
      </w:r>
      <w:r>
        <w:t>made</w:t>
      </w:r>
      <w:r w:rsidRPr="00D16568">
        <w:rPr>
          <w:spacing w:val="-6"/>
        </w:rPr>
        <w:t xml:space="preserve"> </w:t>
      </w:r>
      <w:r>
        <w:t>only</w:t>
      </w:r>
      <w:r w:rsidRPr="00D16568">
        <w:rPr>
          <w:spacing w:val="-5"/>
        </w:rPr>
        <w:t xml:space="preserve"> </w:t>
      </w:r>
      <w:r>
        <w:t>in</w:t>
      </w:r>
      <w:r w:rsidRPr="00D16568">
        <w:rPr>
          <w:spacing w:val="-6"/>
        </w:rPr>
        <w:t xml:space="preserve"> </w:t>
      </w:r>
      <w:r>
        <w:t>part</w:t>
      </w:r>
      <w:r w:rsidRPr="00D16568">
        <w:rPr>
          <w:spacing w:val="-6"/>
        </w:rPr>
        <w:t xml:space="preserve"> </w:t>
      </w:r>
      <w:r>
        <w:t>through</w:t>
      </w:r>
      <w:r w:rsidRPr="00D16568">
        <w:rPr>
          <w:spacing w:val="-6"/>
        </w:rPr>
        <w:t xml:space="preserve"> </w:t>
      </w:r>
      <w:r>
        <w:t>wires,</w:t>
      </w:r>
      <w:r w:rsidRPr="00D16568">
        <w:rPr>
          <w:spacing w:val="-5"/>
        </w:rPr>
        <w:t xml:space="preserve"> </w:t>
      </w:r>
      <w:r>
        <w:t>cables,</w:t>
      </w:r>
      <w:r w:rsidRPr="00D16568">
        <w:rPr>
          <w:spacing w:val="-5"/>
        </w:rPr>
        <w:t xml:space="preserve"> </w:t>
      </w:r>
      <w:r>
        <w:t>or</w:t>
      </w:r>
      <w:r w:rsidRPr="00D16568">
        <w:rPr>
          <w:spacing w:val="-6"/>
        </w:rPr>
        <w:t xml:space="preserve"> </w:t>
      </w:r>
      <w:r>
        <w:t xml:space="preserve">similar </w:t>
      </w:r>
      <w:r w:rsidRPr="00D16568">
        <w:rPr>
          <w:spacing w:val="-2"/>
        </w:rPr>
        <w:t>connections.</w:t>
      </w:r>
      <w:r>
        <w:rPr>
          <w:rStyle w:val="FootnoteReference"/>
          <w:spacing w:val="-2"/>
        </w:rPr>
        <w:footnoteReference w:id="5"/>
      </w:r>
      <w:r w:rsidDel="00BB528E">
        <w:t xml:space="preserve"> </w:t>
      </w:r>
    </w:p>
    <w:p w14:paraId="2FC33882" w14:textId="77777777" w:rsidR="00BC723D" w:rsidRDefault="00BC723D" w:rsidP="00BC723D">
      <w:pPr>
        <w:pStyle w:val="Bullet1"/>
        <w:numPr>
          <w:ilvl w:val="0"/>
          <w:numId w:val="0"/>
        </w:numPr>
        <w:ind w:left="720"/>
      </w:pPr>
      <w:r>
        <w:t>When</w:t>
      </w:r>
      <w:r w:rsidRPr="007A2CB4">
        <w:rPr>
          <w:spacing w:val="-11"/>
        </w:rPr>
        <w:t xml:space="preserve"> </w:t>
      </w:r>
      <w:r>
        <w:t>ambient</w:t>
      </w:r>
      <w:r w:rsidRPr="007A2CB4">
        <w:rPr>
          <w:spacing w:val="-12"/>
        </w:rPr>
        <w:t xml:space="preserve"> </w:t>
      </w:r>
      <w:r>
        <w:t>intelligence</w:t>
      </w:r>
      <w:r w:rsidRPr="007A2CB4">
        <w:rPr>
          <w:spacing w:val="-12"/>
        </w:rPr>
        <w:t xml:space="preserve"> </w:t>
      </w:r>
      <w:r>
        <w:t>tools</w:t>
      </w:r>
      <w:r w:rsidRPr="007A2CB4">
        <w:rPr>
          <w:spacing w:val="-12"/>
        </w:rPr>
        <w:t xml:space="preserve"> </w:t>
      </w:r>
      <w:r>
        <w:t>are</w:t>
      </w:r>
      <w:r w:rsidRPr="007A2CB4">
        <w:rPr>
          <w:spacing w:val="-12"/>
        </w:rPr>
        <w:t xml:space="preserve"> </w:t>
      </w:r>
      <w:r>
        <w:t>used</w:t>
      </w:r>
      <w:r w:rsidRPr="007A2CB4">
        <w:rPr>
          <w:spacing w:val="-11"/>
        </w:rPr>
        <w:t xml:space="preserve"> </w:t>
      </w:r>
      <w:r>
        <w:t>in</w:t>
      </w:r>
      <w:r w:rsidRPr="007A2CB4">
        <w:rPr>
          <w:spacing w:val="-11"/>
        </w:rPr>
        <w:t xml:space="preserve"> </w:t>
      </w:r>
      <w:r>
        <w:t>a</w:t>
      </w:r>
      <w:r w:rsidRPr="007A2CB4">
        <w:rPr>
          <w:spacing w:val="-12"/>
        </w:rPr>
        <w:t xml:space="preserve"> </w:t>
      </w:r>
      <w:r>
        <w:t>clinical</w:t>
      </w:r>
      <w:r w:rsidRPr="007A2CB4">
        <w:rPr>
          <w:spacing w:val="-12"/>
        </w:rPr>
        <w:t xml:space="preserve"> </w:t>
      </w:r>
      <w:r>
        <w:t>setting,</w:t>
      </w:r>
      <w:r w:rsidRPr="007A2CB4">
        <w:rPr>
          <w:spacing w:val="-11"/>
        </w:rPr>
        <w:t xml:space="preserve"> </w:t>
      </w:r>
      <w:r>
        <w:t>the</w:t>
      </w:r>
      <w:r w:rsidRPr="007A2CB4">
        <w:rPr>
          <w:spacing w:val="-12"/>
        </w:rPr>
        <w:t xml:space="preserve"> </w:t>
      </w:r>
      <w:r>
        <w:t>prohibition</w:t>
      </w:r>
      <w:r w:rsidRPr="007A2CB4">
        <w:rPr>
          <w:spacing w:val="-11"/>
        </w:rPr>
        <w:t xml:space="preserve"> </w:t>
      </w:r>
      <w:r>
        <w:t>on</w:t>
      </w:r>
      <w:r w:rsidRPr="007A2CB4">
        <w:rPr>
          <w:spacing w:val="-11"/>
        </w:rPr>
        <w:t xml:space="preserve"> </w:t>
      </w:r>
      <w:r>
        <w:t>wiretapping</w:t>
      </w:r>
      <w:r w:rsidRPr="007A2CB4">
        <w:rPr>
          <w:spacing w:val="-12"/>
        </w:rPr>
        <w:t xml:space="preserve"> </w:t>
      </w:r>
      <w:r>
        <w:t xml:space="preserve">would be most applicable in the context of a telehealth </w:t>
      </w:r>
      <w:r w:rsidRPr="00D16568">
        <w:t>visit</w:t>
      </w:r>
      <w:r>
        <w:t xml:space="preserve"> during which neither the patient nor provider has consented to the use of such tools. In-person encounters in which wires, cables, or other connections are not used to transmit a conversation would not be subject to the wiretapping law.</w:t>
      </w:r>
    </w:p>
    <w:p w14:paraId="6F5BB11C" w14:textId="77777777" w:rsidR="00BC723D" w:rsidRDefault="00BC723D" w:rsidP="00BC723D">
      <w:pPr>
        <w:pStyle w:val="Bullet1"/>
      </w:pPr>
      <w:r>
        <w:t>“</w:t>
      </w:r>
      <w:r>
        <w:rPr>
          <w:b/>
          <w:i/>
        </w:rPr>
        <w:t>Mechanical overhearing of a conversation</w:t>
      </w:r>
      <w:r>
        <w:t>” means “the intentional overhearing or recording of a conversation or discussion, without the consent of at least one party thereto, by a person not present thereat, by means of any instrument, device or equipment.”</w:t>
      </w:r>
      <w:r>
        <w:rPr>
          <w:rStyle w:val="FootnoteReference"/>
        </w:rPr>
        <w:footnoteReference w:id="6"/>
      </w:r>
      <w:r>
        <w:t xml:space="preserve"> This type of eavesdropping also would not apply in the context of a clinical encounter involving ambient intelligence tools as the provider (one party to the conversation) is present for and involved in the conversation.</w:t>
      </w:r>
    </w:p>
    <w:p w14:paraId="2BA66FDE" w14:textId="77777777" w:rsidR="00BC723D" w:rsidRDefault="00BC723D" w:rsidP="00BC723D">
      <w:pPr>
        <w:pStyle w:val="Bullet1"/>
      </w:pPr>
      <w:r>
        <w:t>“</w:t>
      </w:r>
      <w:r>
        <w:rPr>
          <w:b/>
          <w:i/>
        </w:rPr>
        <w:t>Intercepting or accessing of an electronic communication</w:t>
      </w:r>
      <w:r>
        <w:t>” means “the intentional acquiring, receiving, collecting, overhearing, or recording of an electronic communication, without the consent of the sender or intended receiver thereof, by means of any instrument, device or equipment, except when used by a telephone company in the ordinary course...”</w:t>
      </w:r>
      <w:r>
        <w:rPr>
          <w:rStyle w:val="FootnoteReference"/>
        </w:rPr>
        <w:footnoteReference w:id="7"/>
      </w:r>
      <w:r>
        <w:t xml:space="preserve"> “Electronic communication”</w:t>
      </w:r>
      <w:r>
        <w:rPr>
          <w:spacing w:val="-16"/>
        </w:rPr>
        <w:t xml:space="preserve"> </w:t>
      </w:r>
      <w:r>
        <w:t>means</w:t>
      </w:r>
      <w:r>
        <w:rPr>
          <w:spacing w:val="-14"/>
        </w:rPr>
        <w:t xml:space="preserve"> </w:t>
      </w:r>
      <w:r>
        <w:t>“any</w:t>
      </w:r>
      <w:r>
        <w:rPr>
          <w:spacing w:val="-14"/>
        </w:rPr>
        <w:t xml:space="preserve"> </w:t>
      </w:r>
      <w:r>
        <w:t>transfer</w:t>
      </w:r>
      <w:r>
        <w:rPr>
          <w:spacing w:val="-13"/>
        </w:rPr>
        <w:t xml:space="preserve"> </w:t>
      </w:r>
      <w:r>
        <w:t>of</w:t>
      </w:r>
      <w:r>
        <w:rPr>
          <w:spacing w:val="-14"/>
        </w:rPr>
        <w:t xml:space="preserve"> </w:t>
      </w:r>
      <w:r>
        <w:t>signs,</w:t>
      </w:r>
      <w:r>
        <w:rPr>
          <w:spacing w:val="-14"/>
        </w:rPr>
        <w:t xml:space="preserve"> </w:t>
      </w:r>
      <w:r>
        <w:t>signals,</w:t>
      </w:r>
      <w:r>
        <w:rPr>
          <w:spacing w:val="-14"/>
        </w:rPr>
        <w:t xml:space="preserve"> </w:t>
      </w:r>
      <w:r>
        <w:t>writing,</w:t>
      </w:r>
      <w:r>
        <w:rPr>
          <w:spacing w:val="-13"/>
        </w:rPr>
        <w:t xml:space="preserve"> </w:t>
      </w:r>
      <w:r>
        <w:t>images,</w:t>
      </w:r>
      <w:r>
        <w:rPr>
          <w:spacing w:val="-14"/>
        </w:rPr>
        <w:t xml:space="preserve"> </w:t>
      </w:r>
      <w:r>
        <w:t>sounds,</w:t>
      </w:r>
      <w:r>
        <w:rPr>
          <w:spacing w:val="-14"/>
        </w:rPr>
        <w:t xml:space="preserve"> </w:t>
      </w:r>
      <w:r>
        <w:t>data,</w:t>
      </w:r>
      <w:r>
        <w:rPr>
          <w:spacing w:val="-14"/>
        </w:rPr>
        <w:t xml:space="preserve"> </w:t>
      </w:r>
      <w:r>
        <w:t>or</w:t>
      </w:r>
      <w:r>
        <w:rPr>
          <w:spacing w:val="-13"/>
        </w:rPr>
        <w:t xml:space="preserve"> </w:t>
      </w:r>
      <w:r>
        <w:lastRenderedPageBreak/>
        <w:t>intelligence of any nature transmitted in whole or in part by a wire, radio, electromagnetic, photoelectronic or photo-optical system,” subject to various exceptions not applicable here.</w:t>
      </w:r>
      <w:r>
        <w:rPr>
          <w:rStyle w:val="FootnoteReference"/>
        </w:rPr>
        <w:footnoteReference w:id="8"/>
      </w:r>
      <w:r w:rsidDel="00BB528E">
        <w:t xml:space="preserve"> </w:t>
      </w:r>
      <w:bookmarkStart w:id="0" w:name="_bookmark0"/>
      <w:bookmarkStart w:id="1" w:name="_bookmark1"/>
      <w:bookmarkStart w:id="2" w:name="_bookmark2"/>
      <w:bookmarkStart w:id="3" w:name="_bookmark3"/>
      <w:bookmarkStart w:id="4" w:name="_bookmark4"/>
      <w:bookmarkStart w:id="5" w:name="_bookmark5"/>
      <w:bookmarkStart w:id="6" w:name="_bookmark6"/>
      <w:bookmarkStart w:id="7" w:name="_bookmark7"/>
      <w:bookmarkEnd w:id="0"/>
      <w:bookmarkEnd w:id="1"/>
      <w:bookmarkEnd w:id="2"/>
      <w:bookmarkEnd w:id="3"/>
      <w:bookmarkEnd w:id="4"/>
      <w:bookmarkEnd w:id="5"/>
      <w:bookmarkEnd w:id="6"/>
      <w:bookmarkEnd w:id="7"/>
    </w:p>
    <w:p w14:paraId="2B1E5252" w14:textId="77777777" w:rsidR="00BC723D" w:rsidRDefault="00BC723D" w:rsidP="00BC723D">
      <w:pPr>
        <w:pStyle w:val="Bullet1"/>
        <w:numPr>
          <w:ilvl w:val="0"/>
          <w:numId w:val="0"/>
        </w:numPr>
        <w:ind w:left="720"/>
      </w:pPr>
      <w:r>
        <w:t xml:space="preserve">Restrictions on intercepting or </w:t>
      </w:r>
      <w:proofErr w:type="gramStart"/>
      <w:r>
        <w:t>accessing of an</w:t>
      </w:r>
      <w:proofErr w:type="gramEnd"/>
      <w:r>
        <w:t xml:space="preserve"> electronic communication would have limited application</w:t>
      </w:r>
      <w:r w:rsidRPr="007A2CB4">
        <w:rPr>
          <w:spacing w:val="40"/>
        </w:rPr>
        <w:t xml:space="preserve"> </w:t>
      </w:r>
      <w:r>
        <w:t xml:space="preserve">regarding use of ambient intelligence tools in the clinical context, </w:t>
      </w:r>
      <w:proofErr w:type="gramStart"/>
      <w:r>
        <w:t>similar to</w:t>
      </w:r>
      <w:proofErr w:type="gramEnd"/>
      <w:r>
        <w:t xml:space="preserve"> wiretapping</w:t>
      </w:r>
      <w:r w:rsidRPr="007A2CB4">
        <w:rPr>
          <w:spacing w:val="-7"/>
        </w:rPr>
        <w:t xml:space="preserve"> </w:t>
      </w:r>
      <w:r>
        <w:t>above.</w:t>
      </w:r>
      <w:r w:rsidRPr="007A2CB4">
        <w:rPr>
          <w:spacing w:val="-8"/>
        </w:rPr>
        <w:t xml:space="preserve"> </w:t>
      </w:r>
      <w:r>
        <w:t>This</w:t>
      </w:r>
      <w:r w:rsidRPr="007A2CB4">
        <w:rPr>
          <w:spacing w:val="-8"/>
        </w:rPr>
        <w:t xml:space="preserve"> </w:t>
      </w:r>
      <w:r>
        <w:t>law</w:t>
      </w:r>
      <w:r w:rsidRPr="007A2CB4">
        <w:rPr>
          <w:spacing w:val="-8"/>
        </w:rPr>
        <w:t xml:space="preserve"> </w:t>
      </w:r>
      <w:r>
        <w:t>would</w:t>
      </w:r>
      <w:r w:rsidRPr="007A2CB4">
        <w:rPr>
          <w:spacing w:val="-8"/>
        </w:rPr>
        <w:t xml:space="preserve"> </w:t>
      </w:r>
      <w:r>
        <w:t>also</w:t>
      </w:r>
      <w:r w:rsidRPr="007A2CB4">
        <w:rPr>
          <w:spacing w:val="-9"/>
        </w:rPr>
        <w:t xml:space="preserve"> </w:t>
      </w:r>
      <w:r>
        <w:t>most</w:t>
      </w:r>
      <w:r w:rsidRPr="007A2CB4">
        <w:rPr>
          <w:spacing w:val="-8"/>
        </w:rPr>
        <w:t xml:space="preserve"> </w:t>
      </w:r>
      <w:r>
        <w:t>logically</w:t>
      </w:r>
      <w:r w:rsidRPr="007A2CB4">
        <w:rPr>
          <w:spacing w:val="-7"/>
        </w:rPr>
        <w:t xml:space="preserve"> </w:t>
      </w:r>
      <w:r>
        <w:t>apply</w:t>
      </w:r>
      <w:r w:rsidRPr="007A2CB4">
        <w:rPr>
          <w:spacing w:val="-9"/>
        </w:rPr>
        <w:t xml:space="preserve"> </w:t>
      </w:r>
      <w:r>
        <w:t>in</w:t>
      </w:r>
      <w:r w:rsidRPr="007A2CB4">
        <w:rPr>
          <w:spacing w:val="-7"/>
        </w:rPr>
        <w:t xml:space="preserve"> </w:t>
      </w:r>
      <w:r>
        <w:t>the</w:t>
      </w:r>
      <w:r w:rsidRPr="007A2CB4">
        <w:rPr>
          <w:spacing w:val="-8"/>
        </w:rPr>
        <w:t xml:space="preserve"> </w:t>
      </w:r>
      <w:r>
        <w:t>case</w:t>
      </w:r>
      <w:r w:rsidRPr="007A2CB4">
        <w:rPr>
          <w:spacing w:val="-8"/>
        </w:rPr>
        <w:t xml:space="preserve"> </w:t>
      </w:r>
      <w:r>
        <w:t>of</w:t>
      </w:r>
      <w:r w:rsidRPr="007A2CB4">
        <w:rPr>
          <w:spacing w:val="-8"/>
        </w:rPr>
        <w:t xml:space="preserve"> </w:t>
      </w:r>
      <w:r>
        <w:t>a</w:t>
      </w:r>
      <w:r w:rsidRPr="007A2CB4">
        <w:rPr>
          <w:spacing w:val="-8"/>
        </w:rPr>
        <w:t xml:space="preserve"> </w:t>
      </w:r>
      <w:r>
        <w:t>telehealth</w:t>
      </w:r>
      <w:r w:rsidRPr="007A2CB4">
        <w:rPr>
          <w:spacing w:val="-7"/>
        </w:rPr>
        <w:t xml:space="preserve"> </w:t>
      </w:r>
      <w:r>
        <w:t>visit</w:t>
      </w:r>
      <w:r w:rsidRPr="007A2CB4">
        <w:rPr>
          <w:spacing w:val="-9"/>
        </w:rPr>
        <w:t xml:space="preserve"> </w:t>
      </w:r>
      <w:r>
        <w:t>during which neither the patient nor provider has consented to the use of such tools and recording of conversations during in-person encounters would not fall within this provision’s scope.</w:t>
      </w:r>
    </w:p>
    <w:p w14:paraId="4548CFE2" w14:textId="77777777" w:rsidR="00BC723D" w:rsidRDefault="00BC723D" w:rsidP="00BC723D">
      <w:pPr>
        <w:pStyle w:val="BodyText"/>
      </w:pPr>
      <w:proofErr w:type="gramStart"/>
      <w:r>
        <w:rPr>
          <w:b/>
        </w:rPr>
        <w:t>A number of</w:t>
      </w:r>
      <w:proofErr w:type="gramEnd"/>
      <w:r>
        <w:rPr>
          <w:b/>
        </w:rPr>
        <w:t xml:space="preserve"> legislative and administrative policies regarding the use of AI </w:t>
      </w:r>
      <w:r>
        <w:t>have been proposed or implemented over the past few years in New York, none of which directly address ambient intelligence tools. New</w:t>
      </w:r>
      <w:r>
        <w:rPr>
          <w:spacing w:val="-3"/>
        </w:rPr>
        <w:t xml:space="preserve"> </w:t>
      </w:r>
      <w:r>
        <w:t>York introduced 19 laws addressing</w:t>
      </w:r>
      <w:r>
        <w:rPr>
          <w:spacing w:val="-7"/>
        </w:rPr>
        <w:t xml:space="preserve"> </w:t>
      </w:r>
      <w:r>
        <w:t>AI in 2026, but only one has passed to date:</w:t>
      </w:r>
    </w:p>
    <w:p w14:paraId="155BDE81" w14:textId="77777777" w:rsidR="00BC723D" w:rsidRDefault="00BC723D" w:rsidP="00BC723D">
      <w:pPr>
        <w:pStyle w:val="Bullet1"/>
      </w:pPr>
      <w:r>
        <w:t>New York State passed an amendment finalizing the Responsible AI Safety and Education (RAISE) Act,</w:t>
      </w:r>
      <w:r>
        <w:rPr>
          <w:rStyle w:val="FootnoteReference"/>
        </w:rPr>
        <w:footnoteReference w:id="9"/>
      </w:r>
      <w:r>
        <w:t xml:space="preserve"> which establishes detailed transparency and safety requirements for developers of large frontier AI models. The law requires developers to establish and publicly disclose a comprehensive AI framework describing the technical and organizational protocols used to manage model risks, ranging from model training practices to catastrophic risk assessment and mitigation. Developers must also publish transparency reports before deploying new or substantially modified frontier models disclosing specific information, including the intended uses of the model, restrictions or conditions on use, and summaries of risk assessments and mitigation efforts. The law further prohibits large frontier developers from developing, deploying, or operating a frontier model in New York unless a current disclosure statement has been filed with the newly established state office authorized to oversee compliance, collect incident reports, and enforce the Act.</w:t>
      </w:r>
    </w:p>
    <w:p w14:paraId="0073C6B2" w14:textId="77777777" w:rsidR="00BC723D" w:rsidRPr="00813365" w:rsidRDefault="00BC723D" w:rsidP="00BC723D">
      <w:pPr>
        <w:pStyle w:val="BodyText"/>
      </w:pPr>
      <w:r w:rsidRPr="00813365">
        <w:t xml:space="preserve">Several broader AI regulatory bills were introduced this legislative session, including proposals that could potentially affect deployers of ambient listening tools and systems, but none have passed to date. </w:t>
      </w:r>
    </w:p>
    <w:p w14:paraId="749A473E" w14:textId="77777777" w:rsidR="00BC723D" w:rsidRDefault="00BC723D" w:rsidP="00BC723D">
      <w:pPr>
        <w:pStyle w:val="BodyText"/>
      </w:pPr>
      <w:r>
        <w:t>Unless courts place limits relating to, ambient intelligence, use of AI specifically in clinical</w:t>
      </w:r>
      <w:r>
        <w:rPr>
          <w:spacing w:val="-14"/>
        </w:rPr>
        <w:t xml:space="preserve"> </w:t>
      </w:r>
      <w:r>
        <w:t>settings,</w:t>
      </w:r>
      <w:r>
        <w:rPr>
          <w:spacing w:val="-10"/>
        </w:rPr>
        <w:t xml:space="preserve"> </w:t>
      </w:r>
      <w:r>
        <w:t>or</w:t>
      </w:r>
      <w:r>
        <w:rPr>
          <w:spacing w:val="-7"/>
        </w:rPr>
        <w:t xml:space="preserve"> </w:t>
      </w:r>
      <w:r>
        <w:t>consumers’/patients’</w:t>
      </w:r>
      <w:r>
        <w:rPr>
          <w:spacing w:val="-14"/>
        </w:rPr>
        <w:t xml:space="preserve"> </w:t>
      </w:r>
      <w:r>
        <w:t>affirmative</w:t>
      </w:r>
      <w:r>
        <w:rPr>
          <w:spacing w:val="-7"/>
        </w:rPr>
        <w:t xml:space="preserve"> </w:t>
      </w:r>
      <w:r>
        <w:t>consent</w:t>
      </w:r>
      <w:r>
        <w:rPr>
          <w:spacing w:val="-7"/>
        </w:rPr>
        <w:t xml:space="preserve"> </w:t>
      </w:r>
      <w:r>
        <w:t>to</w:t>
      </w:r>
      <w:r>
        <w:rPr>
          <w:spacing w:val="-6"/>
        </w:rPr>
        <w:t xml:space="preserve"> </w:t>
      </w:r>
      <w:r>
        <w:t>or</w:t>
      </w:r>
      <w:r>
        <w:rPr>
          <w:spacing w:val="-7"/>
        </w:rPr>
        <w:t xml:space="preserve"> </w:t>
      </w:r>
      <w:r>
        <w:t>rights</w:t>
      </w:r>
      <w:r>
        <w:rPr>
          <w:spacing w:val="-7"/>
        </w:rPr>
        <w:t xml:space="preserve"> </w:t>
      </w:r>
      <w:r>
        <w:t>to</w:t>
      </w:r>
      <w:r>
        <w:rPr>
          <w:spacing w:val="-6"/>
        </w:rPr>
        <w:t xml:space="preserve"> </w:t>
      </w:r>
      <w:r>
        <w:t>opt-out</w:t>
      </w:r>
      <w:r>
        <w:rPr>
          <w:spacing w:val="-7"/>
        </w:rPr>
        <w:t xml:space="preserve"> </w:t>
      </w:r>
      <w:r>
        <w:t>of</w:t>
      </w:r>
      <w:r>
        <w:rPr>
          <w:spacing w:val="-7"/>
        </w:rPr>
        <w:t xml:space="preserve"> </w:t>
      </w:r>
      <w:r>
        <w:t>the</w:t>
      </w:r>
      <w:r>
        <w:rPr>
          <w:spacing w:val="-7"/>
        </w:rPr>
        <w:t xml:space="preserve"> </w:t>
      </w:r>
      <w:r>
        <w:t>use</w:t>
      </w:r>
      <w:r>
        <w:rPr>
          <w:spacing w:val="-7"/>
        </w:rPr>
        <w:t xml:space="preserve"> </w:t>
      </w:r>
      <w:r>
        <w:t>of</w:t>
      </w:r>
      <w:r>
        <w:rPr>
          <w:spacing w:val="-14"/>
        </w:rPr>
        <w:t xml:space="preserve"> </w:t>
      </w:r>
      <w:r>
        <w:t>AI-enabled tools</w:t>
      </w:r>
      <w:r>
        <w:rPr>
          <w:spacing w:val="-12"/>
        </w:rPr>
        <w:t xml:space="preserve"> </w:t>
      </w:r>
      <w:r>
        <w:t>and</w:t>
      </w:r>
      <w:r>
        <w:rPr>
          <w:spacing w:val="-11"/>
        </w:rPr>
        <w:t xml:space="preserve"> </w:t>
      </w:r>
      <w:r>
        <w:t>systems</w:t>
      </w:r>
      <w:r>
        <w:rPr>
          <w:spacing w:val="-12"/>
        </w:rPr>
        <w:t xml:space="preserve"> </w:t>
      </w:r>
      <w:r>
        <w:t>with</w:t>
      </w:r>
      <w:r>
        <w:rPr>
          <w:spacing w:val="-11"/>
        </w:rPr>
        <w:t xml:space="preserve"> </w:t>
      </w:r>
      <w:r>
        <w:t>which</w:t>
      </w:r>
      <w:r>
        <w:rPr>
          <w:spacing w:val="-11"/>
        </w:rPr>
        <w:t xml:space="preserve"> </w:t>
      </w:r>
      <w:r>
        <w:t>they</w:t>
      </w:r>
      <w:r>
        <w:rPr>
          <w:spacing w:val="-11"/>
        </w:rPr>
        <w:t xml:space="preserve"> </w:t>
      </w:r>
      <w:r>
        <w:t>interact</w:t>
      </w:r>
      <w:r>
        <w:rPr>
          <w:spacing w:val="-12"/>
        </w:rPr>
        <w:t xml:space="preserve"> </w:t>
      </w:r>
      <w:r>
        <w:t>or</w:t>
      </w:r>
      <w:r>
        <w:rPr>
          <w:spacing w:val="-12"/>
        </w:rPr>
        <w:t xml:space="preserve"> </w:t>
      </w:r>
      <w:r>
        <w:t>to</w:t>
      </w:r>
      <w:r>
        <w:rPr>
          <w:spacing w:val="-11"/>
        </w:rPr>
        <w:t xml:space="preserve"> </w:t>
      </w:r>
      <w:r>
        <w:t>which</w:t>
      </w:r>
      <w:r>
        <w:rPr>
          <w:spacing w:val="-12"/>
        </w:rPr>
        <w:t xml:space="preserve"> </w:t>
      </w:r>
      <w:r>
        <w:t>they</w:t>
      </w:r>
      <w:r>
        <w:rPr>
          <w:spacing w:val="-11"/>
        </w:rPr>
        <w:t xml:space="preserve"> </w:t>
      </w:r>
      <w:r>
        <w:t>are</w:t>
      </w:r>
      <w:r>
        <w:rPr>
          <w:spacing w:val="-12"/>
        </w:rPr>
        <w:t xml:space="preserve"> </w:t>
      </w:r>
      <w:r>
        <w:t>exposed,</w:t>
      </w:r>
      <w:r>
        <w:rPr>
          <w:spacing w:val="-11"/>
        </w:rPr>
        <w:t xml:space="preserve"> </w:t>
      </w:r>
      <w:r>
        <w:t>clinical</w:t>
      </w:r>
      <w:r>
        <w:rPr>
          <w:spacing w:val="-11"/>
        </w:rPr>
        <w:t xml:space="preserve"> </w:t>
      </w:r>
      <w:r>
        <w:t>entities</w:t>
      </w:r>
      <w:r>
        <w:rPr>
          <w:spacing w:val="-12"/>
        </w:rPr>
        <w:t xml:space="preserve"> </w:t>
      </w:r>
      <w:r>
        <w:t>and</w:t>
      </w:r>
      <w:r>
        <w:rPr>
          <w:spacing w:val="-11"/>
        </w:rPr>
        <w:t xml:space="preserve"> </w:t>
      </w:r>
      <w:r>
        <w:t>providers</w:t>
      </w:r>
      <w:r>
        <w:rPr>
          <w:spacing w:val="-13"/>
        </w:rPr>
        <w:t xml:space="preserve"> </w:t>
      </w:r>
      <w:r>
        <w:t>need not affirmatively obtain patient consent for the use of ambient intelligence tools under applicable law. Nonetheless, due to the sensitivity and generally confidential nature of personal health information and other information discussed during clinical encounters between patients and providers, as well as the increasingly</w:t>
      </w:r>
      <w:r>
        <w:rPr>
          <w:spacing w:val="-5"/>
        </w:rPr>
        <w:t xml:space="preserve"> </w:t>
      </w:r>
      <w:r>
        <w:t>prevalent</w:t>
      </w:r>
      <w:r>
        <w:rPr>
          <w:spacing w:val="-6"/>
        </w:rPr>
        <w:t xml:space="preserve"> </w:t>
      </w:r>
      <w:r>
        <w:t>cybersecurity</w:t>
      </w:r>
      <w:r>
        <w:rPr>
          <w:spacing w:val="-5"/>
        </w:rPr>
        <w:t xml:space="preserve"> </w:t>
      </w:r>
      <w:r>
        <w:t>threats</w:t>
      </w:r>
      <w:r>
        <w:rPr>
          <w:spacing w:val="-6"/>
        </w:rPr>
        <w:t xml:space="preserve"> </w:t>
      </w:r>
      <w:r>
        <w:t>to</w:t>
      </w:r>
      <w:r>
        <w:rPr>
          <w:spacing w:val="-5"/>
        </w:rPr>
        <w:t xml:space="preserve"> </w:t>
      </w:r>
      <w:r>
        <w:t>organizations</w:t>
      </w:r>
      <w:r>
        <w:rPr>
          <w:spacing w:val="-6"/>
        </w:rPr>
        <w:t xml:space="preserve"> </w:t>
      </w:r>
      <w:r>
        <w:t>that</w:t>
      </w:r>
      <w:r>
        <w:rPr>
          <w:spacing w:val="-6"/>
        </w:rPr>
        <w:t xml:space="preserve"> </w:t>
      </w:r>
      <w:r>
        <w:t>operate</w:t>
      </w:r>
      <w:r>
        <w:rPr>
          <w:spacing w:val="-6"/>
        </w:rPr>
        <w:t xml:space="preserve"> </w:t>
      </w:r>
      <w:r>
        <w:t>in</w:t>
      </w:r>
      <w:r>
        <w:rPr>
          <w:spacing w:val="-5"/>
        </w:rPr>
        <w:t xml:space="preserve"> </w:t>
      </w:r>
      <w:r>
        <w:t>the</w:t>
      </w:r>
      <w:r>
        <w:rPr>
          <w:spacing w:val="-5"/>
        </w:rPr>
        <w:t xml:space="preserve"> </w:t>
      </w:r>
      <w:r>
        <w:t>healthcare</w:t>
      </w:r>
      <w:r>
        <w:rPr>
          <w:spacing w:val="-5"/>
        </w:rPr>
        <w:t xml:space="preserve"> </w:t>
      </w:r>
      <w:r>
        <w:t>sector,</w:t>
      </w:r>
      <w:r>
        <w:rPr>
          <w:spacing w:val="-7"/>
        </w:rPr>
        <w:t xml:space="preserve"> </w:t>
      </w:r>
      <w:r>
        <w:t>it</w:t>
      </w:r>
      <w:r>
        <w:rPr>
          <w:spacing w:val="-6"/>
        </w:rPr>
        <w:t xml:space="preserve"> </w:t>
      </w:r>
      <w:r>
        <w:t>may</w:t>
      </w:r>
      <w:r>
        <w:rPr>
          <w:spacing w:val="-5"/>
        </w:rPr>
        <w:t xml:space="preserve"> </w:t>
      </w:r>
      <w:r>
        <w:t>be advisable</w:t>
      </w:r>
      <w:r>
        <w:rPr>
          <w:spacing w:val="-7"/>
        </w:rPr>
        <w:t xml:space="preserve"> </w:t>
      </w:r>
      <w:r>
        <w:t>that</w:t>
      </w:r>
      <w:r>
        <w:rPr>
          <w:spacing w:val="-7"/>
        </w:rPr>
        <w:t xml:space="preserve"> </w:t>
      </w:r>
      <w:r>
        <w:t>patients</w:t>
      </w:r>
      <w:r>
        <w:rPr>
          <w:spacing w:val="-7"/>
        </w:rPr>
        <w:t xml:space="preserve"> </w:t>
      </w:r>
      <w:r>
        <w:t>be</w:t>
      </w:r>
      <w:r>
        <w:rPr>
          <w:spacing w:val="-8"/>
        </w:rPr>
        <w:t xml:space="preserve"> </w:t>
      </w:r>
      <w:r>
        <w:t>advised</w:t>
      </w:r>
      <w:r>
        <w:rPr>
          <w:spacing w:val="-6"/>
        </w:rPr>
        <w:t xml:space="preserve"> </w:t>
      </w:r>
      <w:r>
        <w:t>that</w:t>
      </w:r>
      <w:r>
        <w:rPr>
          <w:spacing w:val="40"/>
        </w:rPr>
        <w:t xml:space="preserve"> </w:t>
      </w:r>
      <w:r>
        <w:t>ambient</w:t>
      </w:r>
      <w:r>
        <w:rPr>
          <w:spacing w:val="-7"/>
        </w:rPr>
        <w:t xml:space="preserve"> </w:t>
      </w:r>
      <w:r>
        <w:t>intelligence</w:t>
      </w:r>
      <w:r>
        <w:rPr>
          <w:spacing w:val="-7"/>
        </w:rPr>
        <w:t xml:space="preserve"> </w:t>
      </w:r>
      <w:r>
        <w:t>tools</w:t>
      </w:r>
      <w:r>
        <w:rPr>
          <w:spacing w:val="-7"/>
        </w:rPr>
        <w:t xml:space="preserve"> </w:t>
      </w:r>
      <w:r>
        <w:t>are</w:t>
      </w:r>
      <w:r>
        <w:rPr>
          <w:spacing w:val="-7"/>
        </w:rPr>
        <w:t xml:space="preserve"> </w:t>
      </w:r>
      <w:r>
        <w:t>being</w:t>
      </w:r>
      <w:r>
        <w:rPr>
          <w:spacing w:val="-7"/>
        </w:rPr>
        <w:t xml:space="preserve"> </w:t>
      </w:r>
      <w:r>
        <w:t>used</w:t>
      </w:r>
      <w:r>
        <w:rPr>
          <w:spacing w:val="-8"/>
        </w:rPr>
        <w:t xml:space="preserve"> </w:t>
      </w:r>
      <w:r>
        <w:t>during</w:t>
      </w:r>
      <w:r>
        <w:rPr>
          <w:spacing w:val="-7"/>
        </w:rPr>
        <w:t xml:space="preserve"> </w:t>
      </w:r>
      <w:r>
        <w:t>such</w:t>
      </w:r>
      <w:r>
        <w:rPr>
          <w:spacing w:val="-7"/>
        </w:rPr>
        <w:t xml:space="preserve"> </w:t>
      </w:r>
      <w:r>
        <w:t>encounters.</w:t>
      </w:r>
      <w:r>
        <w:rPr>
          <w:spacing w:val="-7"/>
        </w:rPr>
        <w:t xml:space="preserve"> </w:t>
      </w:r>
      <w:r>
        <w:t>In addition, some providers are choosing to post in the exam room or the waiting room a disclosure that ambient intelligence tools are being used.</w:t>
      </w:r>
    </w:p>
    <w:p w14:paraId="5DAC18A6" w14:textId="77777777" w:rsidR="00BC723D" w:rsidRDefault="00BC723D" w:rsidP="00BC723D">
      <w:pPr>
        <w:pStyle w:val="BodyText"/>
      </w:pPr>
      <w:proofErr w:type="gramStart"/>
      <w:r>
        <w:t>In light of</w:t>
      </w:r>
      <w:proofErr w:type="gramEnd"/>
      <w:r>
        <w:t xml:space="preserve"> the ongoing increased scrutiny of</w:t>
      </w:r>
      <w:r>
        <w:rPr>
          <w:spacing w:val="-12"/>
        </w:rPr>
        <w:t xml:space="preserve"> </w:t>
      </w:r>
      <w:r>
        <w:t>AI by</w:t>
      </w:r>
      <w:r>
        <w:rPr>
          <w:spacing w:val="-1"/>
        </w:rPr>
        <w:t xml:space="preserve"> </w:t>
      </w:r>
      <w:r>
        <w:t>lawmakers and regulators, CHCANYS members who desire to employ ambient intelligence tools in clinical encounters may decide to</w:t>
      </w:r>
      <w:r>
        <w:rPr>
          <w:spacing w:val="-1"/>
        </w:rPr>
        <w:t xml:space="preserve"> </w:t>
      </w:r>
      <w:r>
        <w:t>implement</w:t>
      </w:r>
      <w:bookmarkStart w:id="8" w:name="_bookmark8"/>
      <w:bookmarkStart w:id="9" w:name="_bookmark9"/>
      <w:bookmarkEnd w:id="8"/>
      <w:bookmarkEnd w:id="9"/>
      <w:r>
        <w:t xml:space="preserve"> procedures through which they can obtain consents from both providers and/or their patients (or provide disclosure to </w:t>
      </w:r>
      <w:r>
        <w:lastRenderedPageBreak/>
        <w:t>the provider) prior to a clinical encounter.</w:t>
      </w:r>
    </w:p>
    <w:p w14:paraId="2E3A78BD" w14:textId="77777777" w:rsidR="00BC723D" w:rsidRDefault="00BC723D" w:rsidP="00BC723D">
      <w:pPr>
        <w:pStyle w:val="Bullet1"/>
      </w:pPr>
      <w:r>
        <w:rPr>
          <w:b/>
          <w:i/>
        </w:rPr>
        <w:t>For</w:t>
      </w:r>
      <w:r>
        <w:rPr>
          <w:b/>
          <w:i/>
          <w:spacing w:val="-8"/>
        </w:rPr>
        <w:t xml:space="preserve"> </w:t>
      </w:r>
      <w:r>
        <w:rPr>
          <w:b/>
          <w:i/>
        </w:rPr>
        <w:t>providers</w:t>
      </w:r>
      <w:r>
        <w:t>,</w:t>
      </w:r>
      <w:r>
        <w:rPr>
          <w:spacing w:val="-8"/>
        </w:rPr>
        <w:t xml:space="preserve"> </w:t>
      </w:r>
      <w:proofErr w:type="gramStart"/>
      <w:r>
        <w:t>consents</w:t>
      </w:r>
      <w:proofErr w:type="gramEnd"/>
      <w:r>
        <w:rPr>
          <w:spacing w:val="-8"/>
        </w:rPr>
        <w:t xml:space="preserve"> </w:t>
      </w:r>
      <w:r>
        <w:t>can</w:t>
      </w:r>
      <w:r>
        <w:rPr>
          <w:spacing w:val="-7"/>
        </w:rPr>
        <w:t xml:space="preserve"> </w:t>
      </w:r>
      <w:r>
        <w:t>be</w:t>
      </w:r>
      <w:r>
        <w:rPr>
          <w:spacing w:val="-9"/>
        </w:rPr>
        <w:t xml:space="preserve"> </w:t>
      </w:r>
      <w:r>
        <w:t>most</w:t>
      </w:r>
      <w:r>
        <w:rPr>
          <w:spacing w:val="-8"/>
        </w:rPr>
        <w:t xml:space="preserve"> </w:t>
      </w:r>
      <w:r>
        <w:t>readily</w:t>
      </w:r>
      <w:r>
        <w:rPr>
          <w:spacing w:val="-8"/>
        </w:rPr>
        <w:t xml:space="preserve"> </w:t>
      </w:r>
      <w:r>
        <w:t>obtained</w:t>
      </w:r>
      <w:r>
        <w:rPr>
          <w:spacing w:val="-9"/>
        </w:rPr>
        <w:t xml:space="preserve"> </w:t>
      </w:r>
      <w:r>
        <w:t>at</w:t>
      </w:r>
      <w:r>
        <w:rPr>
          <w:spacing w:val="-8"/>
        </w:rPr>
        <w:t xml:space="preserve"> </w:t>
      </w:r>
      <w:r>
        <w:t>annual</w:t>
      </w:r>
      <w:r>
        <w:rPr>
          <w:spacing w:val="-8"/>
        </w:rPr>
        <w:t xml:space="preserve"> </w:t>
      </w:r>
      <w:proofErr w:type="gramStart"/>
      <w:r>
        <w:t>trainings</w:t>
      </w:r>
      <w:proofErr w:type="gramEnd"/>
      <w:r>
        <w:rPr>
          <w:spacing w:val="-8"/>
        </w:rPr>
        <w:t xml:space="preserve"> </w:t>
      </w:r>
      <w:r>
        <w:t>(for</w:t>
      </w:r>
      <w:r>
        <w:rPr>
          <w:spacing w:val="-8"/>
        </w:rPr>
        <w:t xml:space="preserve"> </w:t>
      </w:r>
      <w:r>
        <w:t>existing</w:t>
      </w:r>
      <w:r>
        <w:rPr>
          <w:spacing w:val="-7"/>
        </w:rPr>
        <w:t xml:space="preserve"> </w:t>
      </w:r>
      <w:r>
        <w:t>providers)</w:t>
      </w:r>
      <w:r>
        <w:rPr>
          <w:spacing w:val="-9"/>
        </w:rPr>
        <w:t xml:space="preserve"> </w:t>
      </w:r>
      <w:r>
        <w:t>or during initial</w:t>
      </w:r>
      <w:r>
        <w:rPr>
          <w:spacing w:val="-1"/>
        </w:rPr>
        <w:t xml:space="preserve"> </w:t>
      </w:r>
      <w:r>
        <w:t>onboarding (for new providers). Obtaining from each provider a blanket consent for the</w:t>
      </w:r>
      <w:r>
        <w:rPr>
          <w:spacing w:val="-7"/>
        </w:rPr>
        <w:t xml:space="preserve"> </w:t>
      </w:r>
      <w:r>
        <w:t>use</w:t>
      </w:r>
      <w:r>
        <w:rPr>
          <w:spacing w:val="-7"/>
        </w:rPr>
        <w:t xml:space="preserve"> </w:t>
      </w:r>
      <w:r>
        <w:t>of</w:t>
      </w:r>
      <w:r>
        <w:rPr>
          <w:spacing w:val="-8"/>
        </w:rPr>
        <w:t xml:space="preserve"> </w:t>
      </w:r>
      <w:r>
        <w:t>ambient</w:t>
      </w:r>
      <w:r>
        <w:rPr>
          <w:spacing w:val="-7"/>
        </w:rPr>
        <w:t xml:space="preserve"> </w:t>
      </w:r>
      <w:r>
        <w:t>intelligence</w:t>
      </w:r>
      <w:r>
        <w:rPr>
          <w:spacing w:val="-7"/>
        </w:rPr>
        <w:t xml:space="preserve"> </w:t>
      </w:r>
      <w:r>
        <w:t>tools</w:t>
      </w:r>
      <w:r>
        <w:rPr>
          <w:spacing w:val="-7"/>
        </w:rPr>
        <w:t xml:space="preserve"> </w:t>
      </w:r>
      <w:r>
        <w:t>in</w:t>
      </w:r>
      <w:r>
        <w:rPr>
          <w:spacing w:val="-7"/>
        </w:rPr>
        <w:t xml:space="preserve"> </w:t>
      </w:r>
      <w:proofErr w:type="gramStart"/>
      <w:r>
        <w:t>all</w:t>
      </w:r>
      <w:r>
        <w:rPr>
          <w:spacing w:val="-7"/>
        </w:rPr>
        <w:t xml:space="preserve"> </w:t>
      </w:r>
      <w:r>
        <w:t>of</w:t>
      </w:r>
      <w:proofErr w:type="gramEnd"/>
      <w:r>
        <w:rPr>
          <w:spacing w:val="-8"/>
        </w:rPr>
        <w:t xml:space="preserve"> </w:t>
      </w:r>
      <w:r>
        <w:t>the</w:t>
      </w:r>
      <w:r>
        <w:rPr>
          <w:spacing w:val="-8"/>
        </w:rPr>
        <w:t xml:space="preserve"> </w:t>
      </w:r>
      <w:r>
        <w:t>provider’s</w:t>
      </w:r>
      <w:r>
        <w:rPr>
          <w:spacing w:val="-7"/>
        </w:rPr>
        <w:t xml:space="preserve"> </w:t>
      </w:r>
      <w:r>
        <w:t>clinical</w:t>
      </w:r>
      <w:r>
        <w:rPr>
          <w:spacing w:val="-8"/>
        </w:rPr>
        <w:t xml:space="preserve"> </w:t>
      </w:r>
      <w:r>
        <w:t>encounters</w:t>
      </w:r>
      <w:r>
        <w:rPr>
          <w:spacing w:val="-8"/>
        </w:rPr>
        <w:t xml:space="preserve"> </w:t>
      </w:r>
      <w:r>
        <w:t>with</w:t>
      </w:r>
      <w:r>
        <w:rPr>
          <w:spacing w:val="-6"/>
        </w:rPr>
        <w:t xml:space="preserve"> </w:t>
      </w:r>
      <w:r>
        <w:t>patients</w:t>
      </w:r>
      <w:r>
        <w:rPr>
          <w:spacing w:val="-7"/>
        </w:rPr>
        <w:t xml:space="preserve"> </w:t>
      </w:r>
      <w:r>
        <w:t>would be</w:t>
      </w:r>
      <w:r>
        <w:rPr>
          <w:spacing w:val="-8"/>
        </w:rPr>
        <w:t xml:space="preserve"> </w:t>
      </w:r>
      <w:r>
        <w:t>the</w:t>
      </w:r>
      <w:r>
        <w:rPr>
          <w:spacing w:val="-8"/>
        </w:rPr>
        <w:t xml:space="preserve"> </w:t>
      </w:r>
      <w:r>
        <w:t>easiest</w:t>
      </w:r>
      <w:r>
        <w:rPr>
          <w:spacing w:val="-8"/>
        </w:rPr>
        <w:t xml:space="preserve"> </w:t>
      </w:r>
      <w:r>
        <w:t>to</w:t>
      </w:r>
      <w:r>
        <w:rPr>
          <w:spacing w:val="-7"/>
        </w:rPr>
        <w:t xml:space="preserve"> </w:t>
      </w:r>
      <w:r>
        <w:t>administer,</w:t>
      </w:r>
      <w:r>
        <w:rPr>
          <w:spacing w:val="-8"/>
        </w:rPr>
        <w:t xml:space="preserve"> </w:t>
      </w:r>
      <w:r>
        <w:t>collect,</w:t>
      </w:r>
      <w:r>
        <w:rPr>
          <w:spacing w:val="-8"/>
        </w:rPr>
        <w:t xml:space="preserve"> </w:t>
      </w:r>
      <w:r>
        <w:t>and</w:t>
      </w:r>
      <w:r>
        <w:rPr>
          <w:spacing w:val="-9"/>
        </w:rPr>
        <w:t xml:space="preserve"> </w:t>
      </w:r>
      <w:r>
        <w:t>maintain</w:t>
      </w:r>
      <w:r>
        <w:rPr>
          <w:spacing w:val="-7"/>
        </w:rPr>
        <w:t xml:space="preserve"> </w:t>
      </w:r>
      <w:r>
        <w:t>for</w:t>
      </w:r>
      <w:r>
        <w:rPr>
          <w:spacing w:val="-8"/>
        </w:rPr>
        <w:t xml:space="preserve"> </w:t>
      </w:r>
      <w:r>
        <w:t>CHCANYS</w:t>
      </w:r>
      <w:r>
        <w:rPr>
          <w:spacing w:val="-8"/>
        </w:rPr>
        <w:t xml:space="preserve"> </w:t>
      </w:r>
      <w:r>
        <w:t>members.</w:t>
      </w:r>
      <w:r>
        <w:rPr>
          <w:spacing w:val="-8"/>
        </w:rPr>
        <w:t xml:space="preserve"> </w:t>
      </w:r>
      <w:r>
        <w:t>If</w:t>
      </w:r>
      <w:r>
        <w:rPr>
          <w:spacing w:val="-8"/>
        </w:rPr>
        <w:t xml:space="preserve"> </w:t>
      </w:r>
      <w:r>
        <w:t>providers</w:t>
      </w:r>
      <w:r>
        <w:rPr>
          <w:spacing w:val="-8"/>
        </w:rPr>
        <w:t xml:space="preserve"> </w:t>
      </w:r>
      <w:r>
        <w:t>consent</w:t>
      </w:r>
      <w:r>
        <w:rPr>
          <w:spacing w:val="-8"/>
        </w:rPr>
        <w:t xml:space="preserve"> </w:t>
      </w:r>
      <w:r>
        <w:t>to the</w:t>
      </w:r>
      <w:r>
        <w:rPr>
          <w:spacing w:val="-14"/>
        </w:rPr>
        <w:t xml:space="preserve"> </w:t>
      </w:r>
      <w:r>
        <w:t>use</w:t>
      </w:r>
      <w:r>
        <w:rPr>
          <w:spacing w:val="-14"/>
        </w:rPr>
        <w:t xml:space="preserve"> </w:t>
      </w:r>
      <w:r>
        <w:t>of</w:t>
      </w:r>
      <w:r>
        <w:rPr>
          <w:spacing w:val="-14"/>
        </w:rPr>
        <w:t xml:space="preserve"> </w:t>
      </w:r>
      <w:r>
        <w:t>ambient</w:t>
      </w:r>
      <w:r>
        <w:rPr>
          <w:spacing w:val="-13"/>
        </w:rPr>
        <w:t xml:space="preserve"> </w:t>
      </w:r>
      <w:r>
        <w:t>intelligence</w:t>
      </w:r>
      <w:r>
        <w:rPr>
          <w:spacing w:val="-14"/>
        </w:rPr>
        <w:t xml:space="preserve"> </w:t>
      </w:r>
      <w:r>
        <w:t>tools,</w:t>
      </w:r>
      <w:r>
        <w:rPr>
          <w:spacing w:val="-14"/>
        </w:rPr>
        <w:t xml:space="preserve"> </w:t>
      </w:r>
      <w:r>
        <w:t>such</w:t>
      </w:r>
      <w:r>
        <w:rPr>
          <w:spacing w:val="-14"/>
        </w:rPr>
        <w:t xml:space="preserve"> </w:t>
      </w:r>
      <w:r>
        <w:t>consent</w:t>
      </w:r>
      <w:r>
        <w:rPr>
          <w:spacing w:val="-13"/>
        </w:rPr>
        <w:t xml:space="preserve"> </w:t>
      </w:r>
      <w:proofErr w:type="gramStart"/>
      <w:r>
        <w:t>would</w:t>
      </w:r>
      <w:proofErr w:type="gramEnd"/>
      <w:r>
        <w:rPr>
          <w:spacing w:val="-14"/>
        </w:rPr>
        <w:t xml:space="preserve"> </w:t>
      </w:r>
      <w:r>
        <w:t>satisfy</w:t>
      </w:r>
      <w:r>
        <w:rPr>
          <w:spacing w:val="-14"/>
        </w:rPr>
        <w:t xml:space="preserve"> </w:t>
      </w:r>
      <w:r>
        <w:t>New</w:t>
      </w:r>
      <w:r>
        <w:rPr>
          <w:spacing w:val="-14"/>
        </w:rPr>
        <w:t xml:space="preserve"> </w:t>
      </w:r>
      <w:r>
        <w:t>York’s</w:t>
      </w:r>
      <w:r>
        <w:rPr>
          <w:spacing w:val="-13"/>
        </w:rPr>
        <w:t xml:space="preserve"> </w:t>
      </w:r>
      <w:r>
        <w:t>one-party</w:t>
      </w:r>
      <w:r>
        <w:rPr>
          <w:spacing w:val="-14"/>
        </w:rPr>
        <w:t xml:space="preserve"> </w:t>
      </w:r>
      <w:r>
        <w:t>consent</w:t>
      </w:r>
      <w:r>
        <w:rPr>
          <w:spacing w:val="-14"/>
        </w:rPr>
        <w:t xml:space="preserve"> </w:t>
      </w:r>
      <w:r>
        <w:t>rule to guard against potential violations of eavesdropping laws, to the extent applicable (i.e., patient consent to the</w:t>
      </w:r>
      <w:r>
        <w:rPr>
          <w:spacing w:val="-1"/>
        </w:rPr>
        <w:t xml:space="preserve"> </w:t>
      </w:r>
      <w:r>
        <w:t>use of the tool would not</w:t>
      </w:r>
      <w:r>
        <w:rPr>
          <w:spacing w:val="-1"/>
        </w:rPr>
        <w:t xml:space="preserve"> </w:t>
      </w:r>
      <w:r>
        <w:t>be required under current law).</w:t>
      </w:r>
      <w:r>
        <w:rPr>
          <w:spacing w:val="-13"/>
        </w:rPr>
        <w:t xml:space="preserve"> </w:t>
      </w:r>
      <w:r>
        <w:t>A</w:t>
      </w:r>
      <w:r>
        <w:rPr>
          <w:spacing w:val="-12"/>
        </w:rPr>
        <w:t xml:space="preserve"> </w:t>
      </w:r>
      <w:r>
        <w:t xml:space="preserve">form of blanket consent to the use of ambient intelligence is attached hereto as </w:t>
      </w:r>
      <w:r>
        <w:rPr>
          <w:b/>
          <w:i/>
        </w:rPr>
        <w:t>Exhibit 1</w:t>
      </w:r>
      <w:r>
        <w:t>.</w:t>
      </w:r>
    </w:p>
    <w:p w14:paraId="1436BBBC" w14:textId="77777777" w:rsidR="00BC723D" w:rsidRDefault="00BC723D" w:rsidP="00BC723D">
      <w:pPr>
        <w:pStyle w:val="Bullet1"/>
      </w:pPr>
      <w:r w:rsidRPr="007A2CB4">
        <w:rPr>
          <w:b/>
          <w:i/>
        </w:rPr>
        <w:t>For</w:t>
      </w:r>
      <w:r w:rsidRPr="007A2CB4">
        <w:rPr>
          <w:b/>
          <w:i/>
          <w:spacing w:val="-11"/>
        </w:rPr>
        <w:t xml:space="preserve"> </w:t>
      </w:r>
      <w:r w:rsidRPr="007A2CB4">
        <w:rPr>
          <w:b/>
          <w:i/>
        </w:rPr>
        <w:t>patients</w:t>
      </w:r>
      <w:r>
        <w:t>,</w:t>
      </w:r>
      <w:r w:rsidRPr="007A2CB4">
        <w:rPr>
          <w:spacing w:val="-12"/>
        </w:rPr>
        <w:t xml:space="preserve"> </w:t>
      </w:r>
      <w:r>
        <w:t>disclosure</w:t>
      </w:r>
      <w:r w:rsidRPr="007A2CB4">
        <w:rPr>
          <w:spacing w:val="-11"/>
        </w:rPr>
        <w:t xml:space="preserve"> </w:t>
      </w:r>
      <w:r>
        <w:t>or</w:t>
      </w:r>
      <w:r w:rsidRPr="007A2CB4">
        <w:rPr>
          <w:spacing w:val="-11"/>
        </w:rPr>
        <w:t xml:space="preserve"> </w:t>
      </w:r>
      <w:r>
        <w:t>consent,</w:t>
      </w:r>
      <w:r w:rsidRPr="007A2CB4">
        <w:rPr>
          <w:spacing w:val="-11"/>
        </w:rPr>
        <w:t xml:space="preserve"> </w:t>
      </w:r>
      <w:r>
        <w:t>while</w:t>
      </w:r>
      <w:r w:rsidRPr="007A2CB4">
        <w:rPr>
          <w:spacing w:val="-11"/>
        </w:rPr>
        <w:t xml:space="preserve"> </w:t>
      </w:r>
      <w:r>
        <w:t>not</w:t>
      </w:r>
      <w:r w:rsidRPr="007A2CB4">
        <w:rPr>
          <w:spacing w:val="-11"/>
        </w:rPr>
        <w:t xml:space="preserve"> </w:t>
      </w:r>
      <w:r>
        <w:t>required</w:t>
      </w:r>
      <w:r w:rsidRPr="007A2CB4">
        <w:rPr>
          <w:spacing w:val="-11"/>
        </w:rPr>
        <w:t xml:space="preserve"> </w:t>
      </w:r>
      <w:r>
        <w:t>under</w:t>
      </w:r>
      <w:r w:rsidRPr="007A2CB4">
        <w:rPr>
          <w:spacing w:val="-11"/>
        </w:rPr>
        <w:t xml:space="preserve"> </w:t>
      </w:r>
      <w:r>
        <w:t>current</w:t>
      </w:r>
      <w:r w:rsidRPr="007A2CB4">
        <w:rPr>
          <w:spacing w:val="-12"/>
        </w:rPr>
        <w:t xml:space="preserve"> </w:t>
      </w:r>
      <w:r>
        <w:t>law</w:t>
      </w:r>
      <w:r w:rsidRPr="007A2CB4">
        <w:rPr>
          <w:spacing w:val="-11"/>
        </w:rPr>
        <w:t xml:space="preserve"> </w:t>
      </w:r>
      <w:r>
        <w:t>if</w:t>
      </w:r>
      <w:r w:rsidRPr="007A2CB4">
        <w:rPr>
          <w:spacing w:val="-11"/>
        </w:rPr>
        <w:t xml:space="preserve"> </w:t>
      </w:r>
      <w:r>
        <w:t>the</w:t>
      </w:r>
      <w:r w:rsidRPr="007A2CB4">
        <w:rPr>
          <w:spacing w:val="-11"/>
        </w:rPr>
        <w:t xml:space="preserve"> </w:t>
      </w:r>
      <w:r>
        <w:t>provider</w:t>
      </w:r>
      <w:r w:rsidRPr="007A2CB4">
        <w:rPr>
          <w:spacing w:val="-11"/>
        </w:rPr>
        <w:t xml:space="preserve"> </w:t>
      </w:r>
      <w:r>
        <w:t>has</w:t>
      </w:r>
      <w:r w:rsidRPr="007A2CB4">
        <w:rPr>
          <w:spacing w:val="-11"/>
        </w:rPr>
        <w:t xml:space="preserve"> </w:t>
      </w:r>
      <w:r>
        <w:t>already consented to the use of ambient intelligence tools, may still be desired in the clinical setting and can</w:t>
      </w:r>
      <w:r w:rsidRPr="007A2CB4">
        <w:rPr>
          <w:spacing w:val="-5"/>
        </w:rPr>
        <w:t xml:space="preserve"> </w:t>
      </w:r>
      <w:r>
        <w:t>be</w:t>
      </w:r>
      <w:r w:rsidRPr="007A2CB4">
        <w:rPr>
          <w:spacing w:val="-6"/>
        </w:rPr>
        <w:t xml:space="preserve"> </w:t>
      </w:r>
      <w:r>
        <w:t>most</w:t>
      </w:r>
      <w:r w:rsidRPr="007A2CB4">
        <w:rPr>
          <w:spacing w:val="-6"/>
        </w:rPr>
        <w:t xml:space="preserve"> </w:t>
      </w:r>
      <w:r>
        <w:t>readily</w:t>
      </w:r>
      <w:r w:rsidRPr="007A2CB4">
        <w:rPr>
          <w:spacing w:val="-5"/>
        </w:rPr>
        <w:t xml:space="preserve"> </w:t>
      </w:r>
      <w:r>
        <w:t>obtained</w:t>
      </w:r>
      <w:r w:rsidRPr="007A2CB4">
        <w:rPr>
          <w:spacing w:val="-5"/>
        </w:rPr>
        <w:t xml:space="preserve"> </w:t>
      </w:r>
      <w:r>
        <w:t>during</w:t>
      </w:r>
      <w:r w:rsidRPr="007A2CB4">
        <w:rPr>
          <w:spacing w:val="-6"/>
        </w:rPr>
        <w:t xml:space="preserve"> </w:t>
      </w:r>
      <w:r>
        <w:t>the</w:t>
      </w:r>
      <w:r w:rsidRPr="007A2CB4">
        <w:rPr>
          <w:spacing w:val="-6"/>
        </w:rPr>
        <w:t xml:space="preserve"> </w:t>
      </w:r>
      <w:r>
        <w:t>intake</w:t>
      </w:r>
      <w:r w:rsidRPr="007A2CB4">
        <w:rPr>
          <w:spacing w:val="-6"/>
        </w:rPr>
        <w:t xml:space="preserve"> </w:t>
      </w:r>
      <w:r>
        <w:t>process</w:t>
      </w:r>
      <w:r w:rsidRPr="007A2CB4">
        <w:rPr>
          <w:spacing w:val="-6"/>
        </w:rPr>
        <w:t xml:space="preserve"> </w:t>
      </w:r>
      <w:r>
        <w:t>or</w:t>
      </w:r>
      <w:r w:rsidRPr="007A2CB4">
        <w:rPr>
          <w:spacing w:val="-6"/>
        </w:rPr>
        <w:t xml:space="preserve"> </w:t>
      </w:r>
      <w:r>
        <w:t>upon</w:t>
      </w:r>
      <w:r w:rsidRPr="007A2CB4">
        <w:rPr>
          <w:spacing w:val="-5"/>
        </w:rPr>
        <w:t xml:space="preserve"> </w:t>
      </w:r>
      <w:r>
        <w:t>the</w:t>
      </w:r>
      <w:r w:rsidRPr="007A2CB4">
        <w:rPr>
          <w:spacing w:val="-6"/>
        </w:rPr>
        <w:t xml:space="preserve"> </w:t>
      </w:r>
      <w:r>
        <w:t>provider</w:t>
      </w:r>
      <w:r w:rsidRPr="007A2CB4">
        <w:rPr>
          <w:spacing w:val="-6"/>
        </w:rPr>
        <w:t xml:space="preserve"> </w:t>
      </w:r>
      <w:r>
        <w:t>first</w:t>
      </w:r>
      <w:r w:rsidRPr="007A2CB4">
        <w:rPr>
          <w:spacing w:val="-6"/>
        </w:rPr>
        <w:t xml:space="preserve"> </w:t>
      </w:r>
      <w:r>
        <w:t>entering</w:t>
      </w:r>
      <w:r w:rsidRPr="007A2CB4">
        <w:rPr>
          <w:spacing w:val="-5"/>
        </w:rPr>
        <w:t xml:space="preserve"> </w:t>
      </w:r>
      <w:r>
        <w:t>the</w:t>
      </w:r>
      <w:r w:rsidRPr="007A2CB4">
        <w:rPr>
          <w:spacing w:val="-7"/>
        </w:rPr>
        <w:t xml:space="preserve"> </w:t>
      </w:r>
      <w:r>
        <w:t>exam room.</w:t>
      </w:r>
      <w:r w:rsidRPr="007A2CB4">
        <w:rPr>
          <w:spacing w:val="-11"/>
        </w:rPr>
        <w:t xml:space="preserve"> </w:t>
      </w:r>
      <w:r>
        <w:t>A</w:t>
      </w:r>
      <w:r w:rsidRPr="007A2CB4">
        <w:rPr>
          <w:spacing w:val="-10"/>
        </w:rPr>
        <w:t xml:space="preserve"> </w:t>
      </w:r>
      <w:r>
        <w:t xml:space="preserve">form of patient disclosure to the use of ambient intelligence is attached hereto as </w:t>
      </w:r>
      <w:r w:rsidRPr="007A2CB4">
        <w:rPr>
          <w:b/>
          <w:i/>
        </w:rPr>
        <w:t>Exhibit 2</w:t>
      </w:r>
      <w:r>
        <w:t>.</w:t>
      </w:r>
      <w:r w:rsidRPr="007A2CB4">
        <w:rPr>
          <w:spacing w:val="-12"/>
        </w:rPr>
        <w:t xml:space="preserve"> </w:t>
      </w:r>
      <w:r w:rsidRPr="007A2CB4">
        <w:rPr>
          <w:b/>
        </w:rPr>
        <w:t>We</w:t>
      </w:r>
      <w:r w:rsidRPr="007A2CB4">
        <w:rPr>
          <w:b/>
          <w:spacing w:val="-13"/>
        </w:rPr>
        <w:t xml:space="preserve"> </w:t>
      </w:r>
      <w:r w:rsidRPr="007A2CB4">
        <w:rPr>
          <w:b/>
        </w:rPr>
        <w:t>caution</w:t>
      </w:r>
      <w:r w:rsidRPr="007A2CB4">
        <w:rPr>
          <w:b/>
          <w:spacing w:val="-12"/>
        </w:rPr>
        <w:t xml:space="preserve"> </w:t>
      </w:r>
      <w:r w:rsidRPr="007A2CB4">
        <w:rPr>
          <w:b/>
        </w:rPr>
        <w:t>providers,</w:t>
      </w:r>
      <w:r w:rsidRPr="007A2CB4">
        <w:rPr>
          <w:b/>
          <w:spacing w:val="-12"/>
        </w:rPr>
        <w:t xml:space="preserve"> </w:t>
      </w:r>
      <w:r w:rsidRPr="007A2CB4">
        <w:rPr>
          <w:b/>
        </w:rPr>
        <w:t>however,</w:t>
      </w:r>
      <w:r w:rsidRPr="007A2CB4">
        <w:rPr>
          <w:b/>
          <w:spacing w:val="-12"/>
        </w:rPr>
        <w:t xml:space="preserve"> </w:t>
      </w:r>
      <w:r w:rsidRPr="007A2CB4">
        <w:rPr>
          <w:b/>
        </w:rPr>
        <w:t>from</w:t>
      </w:r>
      <w:r w:rsidRPr="007A2CB4">
        <w:rPr>
          <w:b/>
          <w:spacing w:val="-13"/>
        </w:rPr>
        <w:t xml:space="preserve"> </w:t>
      </w:r>
      <w:r w:rsidRPr="007A2CB4">
        <w:rPr>
          <w:b/>
        </w:rPr>
        <w:t>obtaining</w:t>
      </w:r>
      <w:r w:rsidRPr="007A2CB4">
        <w:rPr>
          <w:b/>
          <w:spacing w:val="-12"/>
        </w:rPr>
        <w:t xml:space="preserve"> </w:t>
      </w:r>
      <w:r w:rsidRPr="007A2CB4">
        <w:rPr>
          <w:b/>
        </w:rPr>
        <w:t>patient</w:t>
      </w:r>
      <w:r w:rsidRPr="007A2CB4">
        <w:rPr>
          <w:b/>
          <w:spacing w:val="-12"/>
        </w:rPr>
        <w:t xml:space="preserve"> </w:t>
      </w:r>
      <w:r w:rsidRPr="007A2CB4">
        <w:rPr>
          <w:b/>
        </w:rPr>
        <w:t>consent</w:t>
      </w:r>
      <w:r w:rsidRPr="007A2CB4">
        <w:rPr>
          <w:b/>
          <w:spacing w:val="-12"/>
        </w:rPr>
        <w:t xml:space="preserve"> </w:t>
      </w:r>
      <w:r w:rsidRPr="007A2CB4">
        <w:rPr>
          <w:b/>
        </w:rPr>
        <w:t>if</w:t>
      </w:r>
      <w:r w:rsidRPr="007A2CB4">
        <w:rPr>
          <w:b/>
          <w:spacing w:val="-12"/>
        </w:rPr>
        <w:t xml:space="preserve"> </w:t>
      </w:r>
      <w:r w:rsidRPr="007A2CB4">
        <w:rPr>
          <w:b/>
        </w:rPr>
        <w:t>they</w:t>
      </w:r>
      <w:r w:rsidRPr="007A2CB4">
        <w:rPr>
          <w:b/>
          <w:spacing w:val="-12"/>
        </w:rPr>
        <w:t xml:space="preserve"> </w:t>
      </w:r>
      <w:r w:rsidRPr="007A2CB4">
        <w:rPr>
          <w:b/>
        </w:rPr>
        <w:t>are</w:t>
      </w:r>
      <w:r w:rsidRPr="007A2CB4">
        <w:rPr>
          <w:b/>
          <w:spacing w:val="-13"/>
        </w:rPr>
        <w:t xml:space="preserve"> </w:t>
      </w:r>
      <w:r w:rsidRPr="007A2CB4">
        <w:rPr>
          <w:b/>
        </w:rPr>
        <w:t>unable</w:t>
      </w:r>
      <w:r w:rsidRPr="007A2CB4">
        <w:rPr>
          <w:b/>
          <w:spacing w:val="-13"/>
        </w:rPr>
        <w:t xml:space="preserve"> </w:t>
      </w:r>
      <w:r w:rsidRPr="007A2CB4">
        <w:rPr>
          <w:b/>
        </w:rPr>
        <w:t>to</w:t>
      </w:r>
      <w:r w:rsidRPr="007A2CB4">
        <w:rPr>
          <w:b/>
          <w:spacing w:val="-12"/>
        </w:rPr>
        <w:t xml:space="preserve"> </w:t>
      </w:r>
      <w:r w:rsidRPr="007A2CB4">
        <w:rPr>
          <w:b/>
        </w:rPr>
        <w:t>ensure that</w:t>
      </w:r>
      <w:r w:rsidRPr="007A2CB4">
        <w:rPr>
          <w:b/>
          <w:spacing w:val="-14"/>
        </w:rPr>
        <w:t xml:space="preserve"> </w:t>
      </w:r>
      <w:r w:rsidRPr="007A2CB4">
        <w:rPr>
          <w:b/>
        </w:rPr>
        <w:t>such</w:t>
      </w:r>
      <w:r w:rsidRPr="007A2CB4">
        <w:rPr>
          <w:b/>
          <w:spacing w:val="-14"/>
        </w:rPr>
        <w:t xml:space="preserve"> </w:t>
      </w:r>
      <w:r w:rsidRPr="007A2CB4">
        <w:rPr>
          <w:b/>
        </w:rPr>
        <w:t>tools</w:t>
      </w:r>
      <w:r w:rsidRPr="007A2CB4">
        <w:rPr>
          <w:b/>
          <w:spacing w:val="-14"/>
        </w:rPr>
        <w:t xml:space="preserve"> </w:t>
      </w:r>
      <w:r w:rsidRPr="007A2CB4">
        <w:rPr>
          <w:b/>
        </w:rPr>
        <w:t>are</w:t>
      </w:r>
      <w:r w:rsidRPr="007A2CB4">
        <w:rPr>
          <w:b/>
          <w:spacing w:val="-13"/>
        </w:rPr>
        <w:t xml:space="preserve"> </w:t>
      </w:r>
      <w:r w:rsidRPr="007A2CB4">
        <w:rPr>
          <w:b/>
        </w:rPr>
        <w:t>not</w:t>
      </w:r>
      <w:r w:rsidRPr="007A2CB4">
        <w:rPr>
          <w:b/>
          <w:spacing w:val="-14"/>
        </w:rPr>
        <w:t xml:space="preserve"> </w:t>
      </w:r>
      <w:r w:rsidRPr="007A2CB4">
        <w:rPr>
          <w:b/>
        </w:rPr>
        <w:t>used</w:t>
      </w:r>
      <w:r w:rsidRPr="007A2CB4">
        <w:rPr>
          <w:b/>
          <w:spacing w:val="-14"/>
        </w:rPr>
        <w:t xml:space="preserve"> </w:t>
      </w:r>
      <w:r w:rsidRPr="007A2CB4">
        <w:rPr>
          <w:b/>
        </w:rPr>
        <w:t>if</w:t>
      </w:r>
      <w:r w:rsidRPr="007A2CB4">
        <w:rPr>
          <w:b/>
          <w:spacing w:val="-14"/>
        </w:rPr>
        <w:t xml:space="preserve"> </w:t>
      </w:r>
      <w:r w:rsidRPr="007A2CB4">
        <w:rPr>
          <w:b/>
        </w:rPr>
        <w:t>the</w:t>
      </w:r>
      <w:r w:rsidRPr="007A2CB4">
        <w:rPr>
          <w:b/>
          <w:spacing w:val="-13"/>
        </w:rPr>
        <w:t xml:space="preserve"> </w:t>
      </w:r>
      <w:r w:rsidRPr="007A2CB4">
        <w:rPr>
          <w:b/>
        </w:rPr>
        <w:t>patient</w:t>
      </w:r>
      <w:r w:rsidRPr="007A2CB4">
        <w:rPr>
          <w:b/>
          <w:spacing w:val="-14"/>
        </w:rPr>
        <w:t xml:space="preserve"> </w:t>
      </w:r>
      <w:r w:rsidRPr="007A2CB4">
        <w:rPr>
          <w:b/>
        </w:rPr>
        <w:t>does</w:t>
      </w:r>
      <w:r w:rsidRPr="007A2CB4">
        <w:rPr>
          <w:b/>
          <w:spacing w:val="-14"/>
        </w:rPr>
        <w:t xml:space="preserve"> </w:t>
      </w:r>
      <w:r w:rsidRPr="007A2CB4">
        <w:rPr>
          <w:b/>
        </w:rPr>
        <w:t>not</w:t>
      </w:r>
      <w:r w:rsidRPr="007A2CB4">
        <w:rPr>
          <w:b/>
          <w:spacing w:val="-14"/>
        </w:rPr>
        <w:t xml:space="preserve"> </w:t>
      </w:r>
      <w:r w:rsidRPr="007A2CB4">
        <w:rPr>
          <w:b/>
        </w:rPr>
        <w:t>consent.</w:t>
      </w:r>
      <w:r w:rsidRPr="007A2CB4">
        <w:rPr>
          <w:b/>
          <w:spacing w:val="-13"/>
        </w:rPr>
        <w:t xml:space="preserve"> </w:t>
      </w:r>
      <w:r>
        <w:rPr>
          <w:bCs/>
          <w:spacing w:val="-13"/>
        </w:rPr>
        <w:t>Even i</w:t>
      </w:r>
      <w:r>
        <w:t>f</w:t>
      </w:r>
      <w:r w:rsidRPr="007A2CB4">
        <w:rPr>
          <w:spacing w:val="-14"/>
        </w:rPr>
        <w:t xml:space="preserve"> </w:t>
      </w:r>
      <w:r>
        <w:t>consent</w:t>
      </w:r>
      <w:r w:rsidRPr="007A2CB4">
        <w:rPr>
          <w:spacing w:val="-14"/>
        </w:rPr>
        <w:t xml:space="preserve"> </w:t>
      </w:r>
      <w:r>
        <w:t>is</w:t>
      </w:r>
      <w:r w:rsidRPr="007A2CB4">
        <w:rPr>
          <w:spacing w:val="-14"/>
        </w:rPr>
        <w:t xml:space="preserve"> </w:t>
      </w:r>
      <w:r>
        <w:rPr>
          <w:spacing w:val="-14"/>
        </w:rPr>
        <w:t xml:space="preserve">not </w:t>
      </w:r>
      <w:r>
        <w:t>obtained,</w:t>
      </w:r>
      <w:r w:rsidRPr="007A2CB4">
        <w:rPr>
          <w:spacing w:val="-13"/>
        </w:rPr>
        <w:t xml:space="preserve"> </w:t>
      </w:r>
      <w:r>
        <w:t>we</w:t>
      </w:r>
      <w:r w:rsidRPr="007A2CB4">
        <w:rPr>
          <w:spacing w:val="-14"/>
        </w:rPr>
        <w:t xml:space="preserve"> </w:t>
      </w:r>
      <w:r>
        <w:t>recommend that</w:t>
      </w:r>
      <w:r w:rsidRPr="007A2CB4">
        <w:rPr>
          <w:spacing w:val="-7"/>
        </w:rPr>
        <w:t xml:space="preserve"> </w:t>
      </w:r>
      <w:r>
        <w:t>providers</w:t>
      </w:r>
      <w:r w:rsidRPr="007A2CB4">
        <w:rPr>
          <w:spacing w:val="-7"/>
        </w:rPr>
        <w:t xml:space="preserve"> </w:t>
      </w:r>
      <w:r>
        <w:t>post</w:t>
      </w:r>
      <w:r w:rsidRPr="007A2CB4">
        <w:rPr>
          <w:spacing w:val="-7"/>
        </w:rPr>
        <w:t xml:space="preserve"> </w:t>
      </w:r>
      <w:r>
        <w:t>something</w:t>
      </w:r>
      <w:r w:rsidRPr="007A2CB4">
        <w:rPr>
          <w:spacing w:val="-6"/>
        </w:rPr>
        <w:t xml:space="preserve"> </w:t>
      </w:r>
      <w:r>
        <w:t>in</w:t>
      </w:r>
      <w:r w:rsidRPr="007A2CB4">
        <w:rPr>
          <w:spacing w:val="-7"/>
        </w:rPr>
        <w:t xml:space="preserve"> </w:t>
      </w:r>
      <w:r>
        <w:t>the</w:t>
      </w:r>
      <w:r w:rsidRPr="007A2CB4">
        <w:rPr>
          <w:spacing w:val="-7"/>
        </w:rPr>
        <w:t xml:space="preserve"> </w:t>
      </w:r>
      <w:r>
        <w:t>exam</w:t>
      </w:r>
      <w:r w:rsidRPr="007A2CB4">
        <w:rPr>
          <w:spacing w:val="-7"/>
        </w:rPr>
        <w:t xml:space="preserve"> </w:t>
      </w:r>
      <w:r>
        <w:t>room</w:t>
      </w:r>
      <w:r w:rsidRPr="007A2CB4">
        <w:rPr>
          <w:spacing w:val="-7"/>
        </w:rPr>
        <w:t xml:space="preserve"> </w:t>
      </w:r>
      <w:r>
        <w:t>reminding</w:t>
      </w:r>
      <w:r w:rsidRPr="007A2CB4">
        <w:rPr>
          <w:spacing w:val="-7"/>
        </w:rPr>
        <w:t xml:space="preserve"> </w:t>
      </w:r>
      <w:r>
        <w:t>patients</w:t>
      </w:r>
      <w:r w:rsidRPr="007A2CB4">
        <w:rPr>
          <w:spacing w:val="-7"/>
        </w:rPr>
        <w:t xml:space="preserve"> </w:t>
      </w:r>
      <w:r>
        <w:t>to</w:t>
      </w:r>
      <w:r w:rsidRPr="007A2CB4">
        <w:rPr>
          <w:spacing w:val="-6"/>
        </w:rPr>
        <w:t xml:space="preserve"> </w:t>
      </w:r>
      <w:r>
        <w:t>advise</w:t>
      </w:r>
      <w:r w:rsidRPr="007A2CB4">
        <w:rPr>
          <w:spacing w:val="-7"/>
        </w:rPr>
        <w:t xml:space="preserve"> </w:t>
      </w:r>
      <w:r>
        <w:t>the</w:t>
      </w:r>
      <w:r w:rsidRPr="007A2CB4">
        <w:rPr>
          <w:spacing w:val="-7"/>
        </w:rPr>
        <w:t xml:space="preserve"> </w:t>
      </w:r>
      <w:r>
        <w:t>provider</w:t>
      </w:r>
      <w:r w:rsidRPr="007A2CB4">
        <w:rPr>
          <w:spacing w:val="-7"/>
        </w:rPr>
        <w:t xml:space="preserve"> </w:t>
      </w:r>
      <w:r>
        <w:t>that</w:t>
      </w:r>
      <w:r w:rsidRPr="007A2CB4">
        <w:rPr>
          <w:spacing w:val="-7"/>
        </w:rPr>
        <w:t xml:space="preserve"> </w:t>
      </w:r>
      <w:r>
        <w:t>they do not want the ambient listening tool used (to remind providers to not use it in that encounter).</w:t>
      </w:r>
    </w:p>
    <w:p w14:paraId="12CCE34E" w14:textId="77777777" w:rsidR="00BC723D" w:rsidRDefault="00BC723D" w:rsidP="00BC723D"/>
    <w:p w14:paraId="5938F02A" w14:textId="77777777" w:rsidR="00BC723D" w:rsidRDefault="00BC723D" w:rsidP="00BC723D"/>
    <w:p w14:paraId="07037403" w14:textId="56B1C143" w:rsidR="00B322F3" w:rsidRPr="00BC723D" w:rsidRDefault="00B322F3" w:rsidP="00BC723D"/>
    <w:sectPr w:rsidR="00B322F3" w:rsidRPr="00BC723D" w:rsidSect="00D16568">
      <w:headerReference w:type="default" r:id="rId9"/>
      <w:footerReference w:type="even" r:id="rId10"/>
      <w:footerReference w:type="default" r:id="rId11"/>
      <w:footerReference w:type="first" r:id="rId12"/>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924B" w14:textId="77777777" w:rsidR="00AE2A13" w:rsidRDefault="00AE2A13" w:rsidP="00D16568">
      <w:pPr>
        <w:spacing w:line="240" w:lineRule="auto"/>
      </w:pPr>
      <w:r>
        <w:separator/>
      </w:r>
    </w:p>
  </w:endnote>
  <w:endnote w:type="continuationSeparator" w:id="0">
    <w:p w14:paraId="3B79440D" w14:textId="77777777" w:rsidR="00AE2A13" w:rsidRDefault="00AE2A13" w:rsidP="00D16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iDocIDField42d0ce9d-8dea-4a31-b5ba-5f1d"/>
  <w:p w14:paraId="247DCDF3" w14:textId="77777777" w:rsidR="00C454F3" w:rsidRDefault="00C454F3">
    <w:pPr>
      <w:pStyle w:val="DocID"/>
    </w:pPr>
    <w:r>
      <w:fldChar w:fldCharType="begin"/>
    </w:r>
    <w:r>
      <w:instrText xml:space="preserve">  DOCPROPERTY "CUS_DocIDChunk0" </w:instrText>
    </w:r>
    <w:r>
      <w:fldChar w:fldCharType="separate"/>
    </w:r>
    <w:r>
      <w:rPr>
        <w:noProof/>
      </w:rPr>
      <w:t>404777608.3</w:t>
    </w:r>
    <w:r>
      <w:fldChar w:fldCharType="end"/>
    </w:r>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470367"/>
      <w:docPartObj>
        <w:docPartGallery w:val="Page Numbers (Bottom of Page)"/>
        <w:docPartUnique/>
      </w:docPartObj>
    </w:sdtPr>
    <w:sdtEndPr>
      <w:rPr>
        <w:noProof/>
      </w:rPr>
    </w:sdtEndPr>
    <w:sdtContent>
      <w:p w14:paraId="4911F270" w14:textId="77777777" w:rsidR="00C454F3" w:rsidRDefault="00C454F3" w:rsidP="004A41BF">
        <w:pPr>
          <w:pStyle w:val="Footer"/>
          <w:jc w:val="center"/>
        </w:pPr>
        <w:r>
          <w:fldChar w:fldCharType="begin"/>
        </w:r>
        <w:r>
          <w:instrText xml:space="preserve"> PAGE   \* MERGEFORMAT </w:instrText>
        </w:r>
        <w:r>
          <w:fldChar w:fldCharType="separate"/>
        </w:r>
        <w:r>
          <w:t>1</w:t>
        </w:r>
        <w:r>
          <w:rPr>
            <w:noProof/>
          </w:rPr>
          <w:fldChar w:fldCharType="end"/>
        </w:r>
      </w:p>
    </w:sdtContent>
  </w:sdt>
  <w:bookmarkStart w:id="11" w:name="_iDocIDField0369e04d-5451-49af-96d0-fdbf"/>
  <w:p w14:paraId="508E9C69" w14:textId="77777777" w:rsidR="00C454F3" w:rsidRDefault="00C454F3">
    <w:pPr>
      <w:pStyle w:val="DocID"/>
    </w:pPr>
    <w:r>
      <w:fldChar w:fldCharType="begin"/>
    </w:r>
    <w:r>
      <w:instrText xml:space="preserve">  DOCPROPERTY "CUS_DocIDChunk0" </w:instrText>
    </w:r>
    <w:r>
      <w:fldChar w:fldCharType="separate"/>
    </w:r>
    <w:r>
      <w:rPr>
        <w:noProof/>
      </w:rPr>
      <w:t>404777608.3</w:t>
    </w:r>
    <w:r>
      <w:fldChar w:fldCharType="end"/>
    </w:r>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 w:name="_iDocIDField1de74c9b-ecea-4edf-8765-1562"/>
  <w:p w14:paraId="0FA1851D" w14:textId="77777777" w:rsidR="00C454F3" w:rsidRDefault="00C454F3">
    <w:pPr>
      <w:pStyle w:val="DocID"/>
    </w:pPr>
    <w:r>
      <w:fldChar w:fldCharType="begin"/>
    </w:r>
    <w:r>
      <w:instrText xml:space="preserve">  DOCPROPERTY "CUS_DocIDChunk0" </w:instrText>
    </w:r>
    <w:r>
      <w:fldChar w:fldCharType="separate"/>
    </w:r>
    <w:r>
      <w:rPr>
        <w:noProof/>
      </w:rPr>
      <w:t>404777608.3</w:t>
    </w:r>
    <w:r>
      <w:fldChar w:fldCharType="end"/>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A82F" w14:textId="77777777" w:rsidR="00AE2A13" w:rsidRDefault="00AE2A13" w:rsidP="00D16568">
      <w:pPr>
        <w:spacing w:line="240" w:lineRule="auto"/>
      </w:pPr>
      <w:r>
        <w:separator/>
      </w:r>
    </w:p>
  </w:footnote>
  <w:footnote w:type="continuationSeparator" w:id="0">
    <w:p w14:paraId="5AFB065D" w14:textId="77777777" w:rsidR="00AE2A13" w:rsidRDefault="00AE2A13" w:rsidP="00D16568">
      <w:pPr>
        <w:spacing w:line="240" w:lineRule="auto"/>
      </w:pPr>
      <w:r>
        <w:continuationSeparator/>
      </w:r>
    </w:p>
  </w:footnote>
  <w:footnote w:id="1">
    <w:p w14:paraId="78626A60" w14:textId="77777777" w:rsidR="00BC723D" w:rsidRPr="002F6C23" w:rsidRDefault="00BC723D" w:rsidP="00BC723D">
      <w:pPr>
        <w:pStyle w:val="FootnoteText"/>
      </w:pPr>
      <w:r w:rsidRPr="002F6C23">
        <w:rPr>
          <w:rStyle w:val="FootnoteReference"/>
        </w:rPr>
        <w:footnoteRef/>
      </w:r>
      <w:r w:rsidRPr="002F6C23">
        <w:t xml:space="preserve"> </w:t>
      </w:r>
      <w:r w:rsidRPr="00607331">
        <w:t>N.Y.</w:t>
      </w:r>
      <w:r w:rsidRPr="00607331">
        <w:rPr>
          <w:spacing w:val="-7"/>
        </w:rPr>
        <w:t xml:space="preserve"> </w:t>
      </w:r>
      <w:r w:rsidRPr="00607331">
        <w:t>Penal</w:t>
      </w:r>
      <w:r w:rsidRPr="00607331">
        <w:rPr>
          <w:spacing w:val="-8"/>
        </w:rPr>
        <w:t xml:space="preserve"> </w:t>
      </w:r>
      <w:r w:rsidRPr="00607331">
        <w:t>Law</w:t>
      </w:r>
      <w:r w:rsidRPr="00607331">
        <w:rPr>
          <w:spacing w:val="-7"/>
        </w:rPr>
        <w:t xml:space="preserve"> </w:t>
      </w:r>
      <w:r w:rsidRPr="00607331">
        <w:t>§</w:t>
      </w:r>
      <w:r w:rsidRPr="00607331">
        <w:rPr>
          <w:spacing w:val="-8"/>
        </w:rPr>
        <w:t xml:space="preserve"> </w:t>
      </w:r>
      <w:r w:rsidRPr="00607331">
        <w:rPr>
          <w:spacing w:val="-2"/>
        </w:rPr>
        <w:t>250.05.</w:t>
      </w:r>
    </w:p>
  </w:footnote>
  <w:footnote w:id="2">
    <w:p w14:paraId="7297CD06" w14:textId="77777777" w:rsidR="00BC723D" w:rsidRPr="002F6C23" w:rsidRDefault="00BC723D" w:rsidP="00BC723D">
      <w:pPr>
        <w:pStyle w:val="FootnoteText"/>
      </w:pPr>
      <w:r w:rsidRPr="002F6C23">
        <w:rPr>
          <w:rStyle w:val="FootnoteReference"/>
        </w:rPr>
        <w:footnoteRef/>
      </w:r>
      <w:r w:rsidRPr="002F6C23">
        <w:t xml:space="preserve"> </w:t>
      </w:r>
      <w:r w:rsidRPr="00607331">
        <w:t>N.Y.</w:t>
      </w:r>
      <w:r w:rsidRPr="00607331">
        <w:rPr>
          <w:spacing w:val="-8"/>
        </w:rPr>
        <w:t xml:space="preserve"> </w:t>
      </w:r>
      <w:r w:rsidRPr="00607331">
        <w:t>Penal</w:t>
      </w:r>
      <w:r w:rsidRPr="00607331">
        <w:rPr>
          <w:spacing w:val="-9"/>
        </w:rPr>
        <w:t xml:space="preserve"> </w:t>
      </w:r>
      <w:r w:rsidRPr="00607331">
        <w:t>Law</w:t>
      </w:r>
      <w:r w:rsidRPr="00607331">
        <w:rPr>
          <w:spacing w:val="-9"/>
        </w:rPr>
        <w:t xml:space="preserve"> </w:t>
      </w:r>
      <w:r w:rsidRPr="00607331">
        <w:t>§</w:t>
      </w:r>
      <w:r w:rsidRPr="00607331">
        <w:rPr>
          <w:spacing w:val="-8"/>
        </w:rPr>
        <w:t xml:space="preserve"> </w:t>
      </w:r>
      <w:r w:rsidRPr="00607331">
        <w:t>250.00;</w:t>
      </w:r>
      <w:r w:rsidRPr="00607331">
        <w:rPr>
          <w:spacing w:val="-9"/>
        </w:rPr>
        <w:t xml:space="preserve"> </w:t>
      </w:r>
      <w:r w:rsidRPr="00607331">
        <w:rPr>
          <w:i/>
        </w:rPr>
        <w:t>Flagler</w:t>
      </w:r>
      <w:r w:rsidRPr="00607331">
        <w:rPr>
          <w:i/>
          <w:spacing w:val="-9"/>
        </w:rPr>
        <w:t xml:space="preserve"> </w:t>
      </w:r>
      <w:r w:rsidRPr="00607331">
        <w:rPr>
          <w:i/>
        </w:rPr>
        <w:t>v.</w:t>
      </w:r>
      <w:r w:rsidRPr="00607331">
        <w:rPr>
          <w:i/>
          <w:spacing w:val="-9"/>
        </w:rPr>
        <w:t xml:space="preserve"> </w:t>
      </w:r>
      <w:r w:rsidRPr="00607331">
        <w:rPr>
          <w:i/>
        </w:rPr>
        <w:t>Trainor</w:t>
      </w:r>
      <w:r w:rsidRPr="00607331">
        <w:t>,</w:t>
      </w:r>
      <w:r w:rsidRPr="00607331">
        <w:rPr>
          <w:spacing w:val="-7"/>
        </w:rPr>
        <w:t xml:space="preserve"> </w:t>
      </w:r>
      <w:r w:rsidRPr="00607331">
        <w:t>663</w:t>
      </w:r>
      <w:r w:rsidRPr="00607331">
        <w:rPr>
          <w:spacing w:val="-9"/>
        </w:rPr>
        <w:t xml:space="preserve"> </w:t>
      </w:r>
      <w:r w:rsidRPr="00607331">
        <w:t>F.3d</w:t>
      </w:r>
      <w:r w:rsidRPr="00607331">
        <w:rPr>
          <w:spacing w:val="-9"/>
        </w:rPr>
        <w:t xml:space="preserve"> </w:t>
      </w:r>
      <w:r w:rsidRPr="00607331">
        <w:t>543</w:t>
      </w:r>
      <w:r w:rsidRPr="00607331">
        <w:rPr>
          <w:spacing w:val="-9"/>
        </w:rPr>
        <w:t xml:space="preserve"> </w:t>
      </w:r>
      <w:r w:rsidRPr="00607331">
        <w:t>(2d</w:t>
      </w:r>
      <w:r w:rsidRPr="00607331">
        <w:rPr>
          <w:spacing w:val="-8"/>
        </w:rPr>
        <w:t xml:space="preserve"> </w:t>
      </w:r>
      <w:r w:rsidRPr="00607331">
        <w:t>Cir.</w:t>
      </w:r>
      <w:r w:rsidRPr="00607331">
        <w:rPr>
          <w:spacing w:val="-8"/>
        </w:rPr>
        <w:t xml:space="preserve"> </w:t>
      </w:r>
      <w:r w:rsidRPr="00607331">
        <w:rPr>
          <w:spacing w:val="-2"/>
        </w:rPr>
        <w:t>2011).</w:t>
      </w:r>
    </w:p>
  </w:footnote>
  <w:footnote w:id="3">
    <w:p w14:paraId="44A14B9A" w14:textId="77777777" w:rsidR="00BC723D" w:rsidRPr="002F6C23" w:rsidRDefault="00BC723D" w:rsidP="00BC723D">
      <w:pPr>
        <w:pStyle w:val="FootnoteText"/>
      </w:pPr>
      <w:r w:rsidRPr="002F6C23">
        <w:rPr>
          <w:rStyle w:val="FootnoteReference"/>
        </w:rPr>
        <w:footnoteRef/>
      </w:r>
      <w:r w:rsidRPr="002F6C23">
        <w:t xml:space="preserve"> </w:t>
      </w:r>
      <w:r w:rsidRPr="00607331">
        <w:rPr>
          <w:i/>
        </w:rPr>
        <w:t>Id</w:t>
      </w:r>
      <w:r w:rsidRPr="00607331">
        <w:t>.</w:t>
      </w:r>
      <w:r w:rsidRPr="00607331">
        <w:rPr>
          <w:spacing w:val="-1"/>
        </w:rPr>
        <w:t xml:space="preserve"> </w:t>
      </w:r>
      <w:r w:rsidRPr="00607331">
        <w:t>at</w:t>
      </w:r>
      <w:r w:rsidRPr="00607331">
        <w:rPr>
          <w:spacing w:val="-3"/>
        </w:rPr>
        <w:t xml:space="preserve"> </w:t>
      </w:r>
      <w:r w:rsidRPr="00607331">
        <w:rPr>
          <w:spacing w:val="-4"/>
        </w:rPr>
        <w:t>(1).</w:t>
      </w:r>
    </w:p>
  </w:footnote>
  <w:footnote w:id="4">
    <w:p w14:paraId="7ADE267D" w14:textId="77777777" w:rsidR="00BC723D" w:rsidRPr="002F6C23" w:rsidRDefault="00BC723D" w:rsidP="00BC723D">
      <w:pPr>
        <w:pStyle w:val="FootnoteText"/>
      </w:pPr>
      <w:r w:rsidRPr="002F6C23">
        <w:rPr>
          <w:rStyle w:val="FootnoteReference"/>
        </w:rPr>
        <w:footnoteRef/>
      </w:r>
      <w:r w:rsidRPr="002F6C23">
        <w:t xml:space="preserve"> </w:t>
      </w:r>
      <w:r w:rsidRPr="00607331">
        <w:rPr>
          <w:i/>
        </w:rPr>
        <w:t>Id</w:t>
      </w:r>
      <w:r w:rsidRPr="00607331">
        <w:t>.</w:t>
      </w:r>
      <w:r w:rsidRPr="00607331">
        <w:rPr>
          <w:spacing w:val="-1"/>
        </w:rPr>
        <w:t xml:space="preserve"> </w:t>
      </w:r>
      <w:r w:rsidRPr="00607331">
        <w:t>at</w:t>
      </w:r>
      <w:r w:rsidRPr="00607331">
        <w:rPr>
          <w:spacing w:val="-3"/>
        </w:rPr>
        <w:t xml:space="preserve"> </w:t>
      </w:r>
      <w:r w:rsidRPr="00607331">
        <w:rPr>
          <w:spacing w:val="-4"/>
        </w:rPr>
        <w:t>(3).</w:t>
      </w:r>
    </w:p>
  </w:footnote>
  <w:footnote w:id="5">
    <w:p w14:paraId="3777778E" w14:textId="77777777" w:rsidR="00BC723D" w:rsidRPr="002F6C23" w:rsidRDefault="00BC723D" w:rsidP="00BC723D">
      <w:pPr>
        <w:pStyle w:val="FootnoteText"/>
      </w:pPr>
      <w:r w:rsidRPr="002F6C23">
        <w:rPr>
          <w:rStyle w:val="FootnoteReference"/>
        </w:rPr>
        <w:footnoteRef/>
      </w:r>
      <w:r w:rsidRPr="002F6C23">
        <w:t xml:space="preserve"> </w:t>
      </w:r>
      <w:r w:rsidRPr="00607331">
        <w:rPr>
          <w:i/>
        </w:rPr>
        <w:t>Sharon</w:t>
      </w:r>
      <w:r w:rsidRPr="00607331">
        <w:rPr>
          <w:i/>
          <w:spacing w:val="-10"/>
        </w:rPr>
        <w:t xml:space="preserve"> </w:t>
      </w:r>
      <w:r w:rsidRPr="00607331">
        <w:rPr>
          <w:i/>
        </w:rPr>
        <w:t>v.</w:t>
      </w:r>
      <w:r w:rsidRPr="00607331">
        <w:rPr>
          <w:i/>
          <w:spacing w:val="-9"/>
        </w:rPr>
        <w:t xml:space="preserve"> </w:t>
      </w:r>
      <w:r w:rsidRPr="00607331">
        <w:rPr>
          <w:i/>
        </w:rPr>
        <w:t>Sharon</w:t>
      </w:r>
      <w:r w:rsidRPr="00607331">
        <w:t>,</w:t>
      </w:r>
      <w:r w:rsidRPr="00607331">
        <w:rPr>
          <w:spacing w:val="-9"/>
        </w:rPr>
        <w:t xml:space="preserve"> </w:t>
      </w:r>
      <w:r w:rsidRPr="00607331">
        <w:t>558</w:t>
      </w:r>
      <w:r w:rsidRPr="00607331">
        <w:rPr>
          <w:spacing w:val="-10"/>
        </w:rPr>
        <w:t xml:space="preserve"> </w:t>
      </w:r>
      <w:r w:rsidRPr="00607331">
        <w:t>N.Y.S.2d</w:t>
      </w:r>
      <w:r w:rsidRPr="00607331">
        <w:rPr>
          <w:spacing w:val="-9"/>
        </w:rPr>
        <w:t xml:space="preserve"> </w:t>
      </w:r>
      <w:r w:rsidRPr="00607331">
        <w:t>468</w:t>
      </w:r>
      <w:r w:rsidRPr="00607331">
        <w:rPr>
          <w:spacing w:val="-10"/>
        </w:rPr>
        <w:t xml:space="preserve"> </w:t>
      </w:r>
      <w:r w:rsidRPr="00607331">
        <w:t>(Sup.</w:t>
      </w:r>
      <w:r w:rsidRPr="00607331">
        <w:rPr>
          <w:spacing w:val="-9"/>
        </w:rPr>
        <w:t xml:space="preserve"> </w:t>
      </w:r>
      <w:r w:rsidRPr="00607331">
        <w:t>Ct.</w:t>
      </w:r>
      <w:r w:rsidRPr="00607331">
        <w:rPr>
          <w:spacing w:val="-8"/>
        </w:rPr>
        <w:t xml:space="preserve"> </w:t>
      </w:r>
      <w:r w:rsidRPr="00607331">
        <w:rPr>
          <w:spacing w:val="-2"/>
        </w:rPr>
        <w:t>1990).</w:t>
      </w:r>
    </w:p>
  </w:footnote>
  <w:footnote w:id="6">
    <w:p w14:paraId="7D325D05" w14:textId="77777777" w:rsidR="00BC723D" w:rsidRPr="002F6C23" w:rsidRDefault="00BC723D" w:rsidP="00BC723D">
      <w:pPr>
        <w:pStyle w:val="FootnoteText"/>
      </w:pPr>
      <w:r w:rsidRPr="002F6C23">
        <w:rPr>
          <w:rStyle w:val="FootnoteReference"/>
        </w:rPr>
        <w:footnoteRef/>
      </w:r>
      <w:r w:rsidRPr="002F6C23">
        <w:t xml:space="preserve"> </w:t>
      </w:r>
      <w:r w:rsidRPr="00607331">
        <w:t>N.Y.</w:t>
      </w:r>
      <w:r w:rsidRPr="00607331">
        <w:rPr>
          <w:spacing w:val="-7"/>
        </w:rPr>
        <w:t xml:space="preserve"> </w:t>
      </w:r>
      <w:r w:rsidRPr="00607331">
        <w:t>Penal</w:t>
      </w:r>
      <w:r w:rsidRPr="00607331">
        <w:rPr>
          <w:spacing w:val="-7"/>
        </w:rPr>
        <w:t xml:space="preserve"> </w:t>
      </w:r>
      <w:r w:rsidRPr="00607331">
        <w:t>Law</w:t>
      </w:r>
      <w:r w:rsidRPr="00607331">
        <w:rPr>
          <w:spacing w:val="-8"/>
        </w:rPr>
        <w:t xml:space="preserve"> </w:t>
      </w:r>
      <w:r w:rsidRPr="00607331">
        <w:t>§</w:t>
      </w:r>
      <w:r w:rsidRPr="00607331">
        <w:rPr>
          <w:spacing w:val="-8"/>
        </w:rPr>
        <w:t xml:space="preserve"> </w:t>
      </w:r>
      <w:r w:rsidRPr="00607331">
        <w:rPr>
          <w:spacing w:val="-2"/>
        </w:rPr>
        <w:t>250.00(2).</w:t>
      </w:r>
    </w:p>
  </w:footnote>
  <w:footnote w:id="7">
    <w:p w14:paraId="1027923D" w14:textId="77777777" w:rsidR="00BC723D" w:rsidRPr="002F6C23" w:rsidRDefault="00BC723D" w:rsidP="00BC723D">
      <w:pPr>
        <w:pStyle w:val="FootnoteText"/>
      </w:pPr>
      <w:r w:rsidRPr="002F6C23">
        <w:rPr>
          <w:rStyle w:val="FootnoteReference"/>
        </w:rPr>
        <w:footnoteRef/>
      </w:r>
      <w:r w:rsidRPr="002F6C23">
        <w:t xml:space="preserve"> </w:t>
      </w:r>
      <w:r w:rsidRPr="00607331">
        <w:rPr>
          <w:i/>
        </w:rPr>
        <w:t>Id</w:t>
      </w:r>
      <w:r w:rsidRPr="00607331">
        <w:t>.</w:t>
      </w:r>
      <w:r w:rsidRPr="00607331">
        <w:rPr>
          <w:spacing w:val="-1"/>
        </w:rPr>
        <w:t xml:space="preserve"> </w:t>
      </w:r>
      <w:r w:rsidRPr="00607331">
        <w:t>at</w:t>
      </w:r>
      <w:r w:rsidRPr="00607331">
        <w:rPr>
          <w:spacing w:val="-3"/>
        </w:rPr>
        <w:t xml:space="preserve"> </w:t>
      </w:r>
      <w:r w:rsidRPr="00607331">
        <w:rPr>
          <w:spacing w:val="-4"/>
        </w:rPr>
        <w:t>(6).</w:t>
      </w:r>
    </w:p>
  </w:footnote>
  <w:footnote w:id="8">
    <w:p w14:paraId="5921E6BB" w14:textId="77777777" w:rsidR="00BC723D" w:rsidRPr="002F6C23" w:rsidRDefault="00BC723D" w:rsidP="00BC723D">
      <w:pPr>
        <w:pStyle w:val="FootnoteText"/>
      </w:pPr>
      <w:r w:rsidRPr="00607331">
        <w:rPr>
          <w:rStyle w:val="FootnoteReference"/>
        </w:rPr>
        <w:footnoteRef/>
      </w:r>
      <w:r w:rsidRPr="00607331">
        <w:t xml:space="preserve"> </w:t>
      </w:r>
      <w:r w:rsidRPr="00607331">
        <w:rPr>
          <w:i/>
        </w:rPr>
        <w:t>Id</w:t>
      </w:r>
      <w:r w:rsidRPr="00607331">
        <w:t>.</w:t>
      </w:r>
      <w:r w:rsidRPr="00607331">
        <w:rPr>
          <w:spacing w:val="-1"/>
        </w:rPr>
        <w:t xml:space="preserve"> </w:t>
      </w:r>
      <w:r w:rsidRPr="00607331">
        <w:t>at</w:t>
      </w:r>
      <w:r w:rsidRPr="00607331">
        <w:rPr>
          <w:spacing w:val="-3"/>
        </w:rPr>
        <w:t xml:space="preserve"> </w:t>
      </w:r>
      <w:r w:rsidRPr="00607331">
        <w:rPr>
          <w:spacing w:val="-4"/>
        </w:rPr>
        <w:t>(5).</w:t>
      </w:r>
    </w:p>
  </w:footnote>
  <w:footnote w:id="9">
    <w:p w14:paraId="049D7319" w14:textId="77777777" w:rsidR="00BC723D" w:rsidRPr="00B17CC4" w:rsidRDefault="00BC723D" w:rsidP="00BC723D">
      <w:pPr>
        <w:pStyle w:val="FootnoteText"/>
      </w:pPr>
      <w:r w:rsidRPr="002F6C23">
        <w:rPr>
          <w:rStyle w:val="FootnoteReference"/>
        </w:rPr>
        <w:footnoteRef/>
      </w:r>
      <w:r w:rsidRPr="002F6C23">
        <w:t xml:space="preserve"> General Business Law Article 44-B (Section 1420 et 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742A" w14:textId="0683C233" w:rsidR="00956E83" w:rsidRDefault="00422ECD">
    <w:pPr>
      <w:pStyle w:val="Header"/>
    </w:pPr>
    <w:r>
      <w:t>Last updated July</w:t>
    </w:r>
    <w:r w:rsidR="00956E83">
      <w:t xml:space="preserve"> </w:t>
    </w:r>
    <w:r w:rsidR="00D1371C">
      <w:t>11,</w:t>
    </w:r>
    <w:r w:rsidR="00956E83">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4AF0"/>
    <w:multiLevelType w:val="hybridMultilevel"/>
    <w:tmpl w:val="2730B45E"/>
    <w:lvl w:ilvl="0" w:tplc="F63E3CE0">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C74C5AD8">
      <w:numFmt w:val="bullet"/>
      <w:lvlText w:val="•"/>
      <w:lvlJc w:val="left"/>
      <w:pPr>
        <w:ind w:left="1980" w:hanging="360"/>
      </w:pPr>
      <w:rPr>
        <w:rFonts w:hint="default"/>
        <w:lang w:val="en-US" w:eastAsia="en-US" w:bidi="ar-SA"/>
      </w:rPr>
    </w:lvl>
    <w:lvl w:ilvl="2" w:tplc="6770A146">
      <w:numFmt w:val="bullet"/>
      <w:lvlText w:val="•"/>
      <w:lvlJc w:val="left"/>
      <w:pPr>
        <w:ind w:left="2880" w:hanging="360"/>
      </w:pPr>
      <w:rPr>
        <w:rFonts w:hint="default"/>
        <w:lang w:val="en-US" w:eastAsia="en-US" w:bidi="ar-SA"/>
      </w:rPr>
    </w:lvl>
    <w:lvl w:ilvl="3" w:tplc="71ECC70A">
      <w:numFmt w:val="bullet"/>
      <w:lvlText w:val="•"/>
      <w:lvlJc w:val="left"/>
      <w:pPr>
        <w:ind w:left="3780" w:hanging="360"/>
      </w:pPr>
      <w:rPr>
        <w:rFonts w:hint="default"/>
        <w:lang w:val="en-US" w:eastAsia="en-US" w:bidi="ar-SA"/>
      </w:rPr>
    </w:lvl>
    <w:lvl w:ilvl="4" w:tplc="810C17CA">
      <w:numFmt w:val="bullet"/>
      <w:lvlText w:val="•"/>
      <w:lvlJc w:val="left"/>
      <w:pPr>
        <w:ind w:left="4680" w:hanging="360"/>
      </w:pPr>
      <w:rPr>
        <w:rFonts w:hint="default"/>
        <w:lang w:val="en-US" w:eastAsia="en-US" w:bidi="ar-SA"/>
      </w:rPr>
    </w:lvl>
    <w:lvl w:ilvl="5" w:tplc="17963966">
      <w:numFmt w:val="bullet"/>
      <w:lvlText w:val="•"/>
      <w:lvlJc w:val="left"/>
      <w:pPr>
        <w:ind w:left="5580" w:hanging="360"/>
      </w:pPr>
      <w:rPr>
        <w:rFonts w:hint="default"/>
        <w:lang w:val="en-US" w:eastAsia="en-US" w:bidi="ar-SA"/>
      </w:rPr>
    </w:lvl>
    <w:lvl w:ilvl="6" w:tplc="76646F58">
      <w:numFmt w:val="bullet"/>
      <w:lvlText w:val="•"/>
      <w:lvlJc w:val="left"/>
      <w:pPr>
        <w:ind w:left="6480" w:hanging="360"/>
      </w:pPr>
      <w:rPr>
        <w:rFonts w:hint="default"/>
        <w:lang w:val="en-US" w:eastAsia="en-US" w:bidi="ar-SA"/>
      </w:rPr>
    </w:lvl>
    <w:lvl w:ilvl="7" w:tplc="1826D80C">
      <w:numFmt w:val="bullet"/>
      <w:lvlText w:val="•"/>
      <w:lvlJc w:val="left"/>
      <w:pPr>
        <w:ind w:left="7380" w:hanging="360"/>
      </w:pPr>
      <w:rPr>
        <w:rFonts w:hint="default"/>
        <w:lang w:val="en-US" w:eastAsia="en-US" w:bidi="ar-SA"/>
      </w:rPr>
    </w:lvl>
    <w:lvl w:ilvl="8" w:tplc="EC866080">
      <w:numFmt w:val="bullet"/>
      <w:lvlText w:val="•"/>
      <w:lvlJc w:val="left"/>
      <w:pPr>
        <w:ind w:left="8280" w:hanging="360"/>
      </w:pPr>
      <w:rPr>
        <w:rFonts w:hint="default"/>
        <w:lang w:val="en-US" w:eastAsia="en-US" w:bidi="ar-SA"/>
      </w:rPr>
    </w:lvl>
  </w:abstractNum>
  <w:abstractNum w:abstractNumId="1" w15:restartNumberingAfterBreak="0">
    <w:nsid w:val="242F5CCC"/>
    <w:multiLevelType w:val="hybridMultilevel"/>
    <w:tmpl w:val="76BC9E3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51F2757E"/>
    <w:multiLevelType w:val="hybridMultilevel"/>
    <w:tmpl w:val="7A269A86"/>
    <w:lvl w:ilvl="0" w:tplc="B406D08C">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A43DE3"/>
    <w:multiLevelType w:val="hybridMultilevel"/>
    <w:tmpl w:val="CDDE4B9C"/>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 w15:restartNumberingAfterBreak="0">
    <w:nsid w:val="6B0E5665"/>
    <w:multiLevelType w:val="hybridMultilevel"/>
    <w:tmpl w:val="7478AB2A"/>
    <w:lvl w:ilvl="0" w:tplc="F806B57E">
      <w:start w:val="1"/>
      <w:numFmt w:val="bullet"/>
      <w:lvlText w:val=""/>
      <w:lvlJc w:val="left"/>
      <w:pPr>
        <w:ind w:left="720" w:hanging="360"/>
      </w:pPr>
      <w:rPr>
        <w:rFonts w:ascii="Symbol" w:hAnsi="Symbol" w:hint="default"/>
      </w:rPr>
    </w:lvl>
    <w:lvl w:ilvl="1" w:tplc="22B286DE" w:tentative="1">
      <w:start w:val="1"/>
      <w:numFmt w:val="bullet"/>
      <w:lvlText w:val="o"/>
      <w:lvlJc w:val="left"/>
      <w:pPr>
        <w:ind w:left="1440" w:hanging="360"/>
      </w:pPr>
      <w:rPr>
        <w:rFonts w:ascii="Courier New" w:hAnsi="Courier New" w:cs="Courier New" w:hint="default"/>
      </w:rPr>
    </w:lvl>
    <w:lvl w:ilvl="2" w:tplc="63866FD0" w:tentative="1">
      <w:start w:val="1"/>
      <w:numFmt w:val="bullet"/>
      <w:lvlText w:val=""/>
      <w:lvlJc w:val="left"/>
      <w:pPr>
        <w:ind w:left="2160" w:hanging="360"/>
      </w:pPr>
      <w:rPr>
        <w:rFonts w:ascii="Wingdings" w:hAnsi="Wingdings" w:hint="default"/>
      </w:rPr>
    </w:lvl>
    <w:lvl w:ilvl="3" w:tplc="212E4FFE" w:tentative="1">
      <w:start w:val="1"/>
      <w:numFmt w:val="bullet"/>
      <w:lvlText w:val=""/>
      <w:lvlJc w:val="left"/>
      <w:pPr>
        <w:ind w:left="2880" w:hanging="360"/>
      </w:pPr>
      <w:rPr>
        <w:rFonts w:ascii="Symbol" w:hAnsi="Symbol" w:hint="default"/>
      </w:rPr>
    </w:lvl>
    <w:lvl w:ilvl="4" w:tplc="2194A9D4" w:tentative="1">
      <w:start w:val="1"/>
      <w:numFmt w:val="bullet"/>
      <w:lvlText w:val="o"/>
      <w:lvlJc w:val="left"/>
      <w:pPr>
        <w:ind w:left="3600" w:hanging="360"/>
      </w:pPr>
      <w:rPr>
        <w:rFonts w:ascii="Courier New" w:hAnsi="Courier New" w:cs="Courier New" w:hint="default"/>
      </w:rPr>
    </w:lvl>
    <w:lvl w:ilvl="5" w:tplc="ACCCB2E0" w:tentative="1">
      <w:start w:val="1"/>
      <w:numFmt w:val="bullet"/>
      <w:lvlText w:val=""/>
      <w:lvlJc w:val="left"/>
      <w:pPr>
        <w:ind w:left="4320" w:hanging="360"/>
      </w:pPr>
      <w:rPr>
        <w:rFonts w:ascii="Wingdings" w:hAnsi="Wingdings" w:hint="default"/>
      </w:rPr>
    </w:lvl>
    <w:lvl w:ilvl="6" w:tplc="CFC8B96A" w:tentative="1">
      <w:start w:val="1"/>
      <w:numFmt w:val="bullet"/>
      <w:lvlText w:val=""/>
      <w:lvlJc w:val="left"/>
      <w:pPr>
        <w:ind w:left="5040" w:hanging="360"/>
      </w:pPr>
      <w:rPr>
        <w:rFonts w:ascii="Symbol" w:hAnsi="Symbol" w:hint="default"/>
      </w:rPr>
    </w:lvl>
    <w:lvl w:ilvl="7" w:tplc="CC4C1356" w:tentative="1">
      <w:start w:val="1"/>
      <w:numFmt w:val="bullet"/>
      <w:lvlText w:val="o"/>
      <w:lvlJc w:val="left"/>
      <w:pPr>
        <w:ind w:left="5760" w:hanging="360"/>
      </w:pPr>
      <w:rPr>
        <w:rFonts w:ascii="Courier New" w:hAnsi="Courier New" w:cs="Courier New" w:hint="default"/>
      </w:rPr>
    </w:lvl>
    <w:lvl w:ilvl="8" w:tplc="4E568E72" w:tentative="1">
      <w:start w:val="1"/>
      <w:numFmt w:val="bullet"/>
      <w:lvlText w:val=""/>
      <w:lvlJc w:val="left"/>
      <w:pPr>
        <w:ind w:left="6480" w:hanging="360"/>
      </w:pPr>
      <w:rPr>
        <w:rFonts w:ascii="Wingdings" w:hAnsi="Wingdings" w:hint="default"/>
      </w:rPr>
    </w:lvl>
  </w:abstractNum>
  <w:abstractNum w:abstractNumId="5" w15:restartNumberingAfterBreak="0">
    <w:nsid w:val="70C17AAB"/>
    <w:multiLevelType w:val="hybridMultilevel"/>
    <w:tmpl w:val="A54C028E"/>
    <w:lvl w:ilvl="0" w:tplc="7A00EFE2">
      <w:numFmt w:val="bullet"/>
      <w:lvlText w:val=""/>
      <w:lvlJc w:val="left"/>
      <w:pPr>
        <w:ind w:left="702" w:hanging="360"/>
      </w:pPr>
      <w:rPr>
        <w:rFonts w:ascii="Symbol" w:eastAsia="Symbol" w:hAnsi="Symbol" w:cs="Symbol" w:hint="default"/>
        <w:b w:val="0"/>
        <w:bCs w:val="0"/>
        <w:i w:val="0"/>
        <w:iCs w:val="0"/>
        <w:spacing w:val="0"/>
        <w:w w:val="99"/>
        <w:sz w:val="22"/>
        <w:szCs w:val="22"/>
        <w:lang w:val="en-US" w:eastAsia="en-US" w:bidi="ar-SA"/>
      </w:rPr>
    </w:lvl>
    <w:lvl w:ilvl="1" w:tplc="662AB054">
      <w:numFmt w:val="bullet"/>
      <w:lvlText w:val=""/>
      <w:lvlJc w:val="left"/>
      <w:pPr>
        <w:ind w:left="989" w:hanging="360"/>
      </w:pPr>
      <w:rPr>
        <w:rFonts w:ascii="Symbol" w:eastAsia="Symbol" w:hAnsi="Symbol" w:cs="Symbol" w:hint="default"/>
        <w:b w:val="0"/>
        <w:bCs w:val="0"/>
        <w:i w:val="0"/>
        <w:iCs w:val="0"/>
        <w:spacing w:val="0"/>
        <w:w w:val="99"/>
        <w:sz w:val="22"/>
        <w:szCs w:val="22"/>
        <w:lang w:val="en-US" w:eastAsia="en-US" w:bidi="ar-SA"/>
      </w:rPr>
    </w:lvl>
    <w:lvl w:ilvl="2" w:tplc="0726BE8A">
      <w:numFmt w:val="bullet"/>
      <w:lvlText w:val="•"/>
      <w:lvlJc w:val="left"/>
      <w:pPr>
        <w:ind w:left="1991" w:hanging="360"/>
      </w:pPr>
      <w:rPr>
        <w:rFonts w:hint="default"/>
        <w:lang w:val="en-US" w:eastAsia="en-US" w:bidi="ar-SA"/>
      </w:rPr>
    </w:lvl>
    <w:lvl w:ilvl="3" w:tplc="4D482176">
      <w:numFmt w:val="bullet"/>
      <w:lvlText w:val="•"/>
      <w:lvlJc w:val="left"/>
      <w:pPr>
        <w:ind w:left="3002" w:hanging="360"/>
      </w:pPr>
      <w:rPr>
        <w:rFonts w:hint="default"/>
        <w:lang w:val="en-US" w:eastAsia="en-US" w:bidi="ar-SA"/>
      </w:rPr>
    </w:lvl>
    <w:lvl w:ilvl="4" w:tplc="14F8DD3E">
      <w:numFmt w:val="bullet"/>
      <w:lvlText w:val="•"/>
      <w:lvlJc w:val="left"/>
      <w:pPr>
        <w:ind w:left="4013" w:hanging="360"/>
      </w:pPr>
      <w:rPr>
        <w:rFonts w:hint="default"/>
        <w:lang w:val="en-US" w:eastAsia="en-US" w:bidi="ar-SA"/>
      </w:rPr>
    </w:lvl>
    <w:lvl w:ilvl="5" w:tplc="0F36005E">
      <w:numFmt w:val="bullet"/>
      <w:lvlText w:val="•"/>
      <w:lvlJc w:val="left"/>
      <w:pPr>
        <w:ind w:left="5024" w:hanging="360"/>
      </w:pPr>
      <w:rPr>
        <w:rFonts w:hint="default"/>
        <w:lang w:val="en-US" w:eastAsia="en-US" w:bidi="ar-SA"/>
      </w:rPr>
    </w:lvl>
    <w:lvl w:ilvl="6" w:tplc="685AB7EC">
      <w:numFmt w:val="bullet"/>
      <w:lvlText w:val="•"/>
      <w:lvlJc w:val="left"/>
      <w:pPr>
        <w:ind w:left="6035" w:hanging="360"/>
      </w:pPr>
      <w:rPr>
        <w:rFonts w:hint="default"/>
        <w:lang w:val="en-US" w:eastAsia="en-US" w:bidi="ar-SA"/>
      </w:rPr>
    </w:lvl>
    <w:lvl w:ilvl="7" w:tplc="584CE47E">
      <w:numFmt w:val="bullet"/>
      <w:lvlText w:val="•"/>
      <w:lvlJc w:val="left"/>
      <w:pPr>
        <w:ind w:left="7046" w:hanging="360"/>
      </w:pPr>
      <w:rPr>
        <w:rFonts w:hint="default"/>
        <w:lang w:val="en-US" w:eastAsia="en-US" w:bidi="ar-SA"/>
      </w:rPr>
    </w:lvl>
    <w:lvl w:ilvl="8" w:tplc="3F9E198E">
      <w:numFmt w:val="bullet"/>
      <w:lvlText w:val="•"/>
      <w:lvlJc w:val="left"/>
      <w:pPr>
        <w:ind w:left="8057" w:hanging="360"/>
      </w:pPr>
      <w:rPr>
        <w:rFonts w:hint="default"/>
        <w:lang w:val="en-US" w:eastAsia="en-US" w:bidi="ar-SA"/>
      </w:rPr>
    </w:lvl>
  </w:abstractNum>
  <w:abstractNum w:abstractNumId="6" w15:restartNumberingAfterBreak="0">
    <w:nsid w:val="7B7D3060"/>
    <w:multiLevelType w:val="hybridMultilevel"/>
    <w:tmpl w:val="2024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483445">
    <w:abstractNumId w:val="5"/>
  </w:num>
  <w:num w:numId="2" w16cid:durableId="1547448151">
    <w:abstractNumId w:val="0"/>
  </w:num>
  <w:num w:numId="3" w16cid:durableId="973021278">
    <w:abstractNumId w:val="3"/>
  </w:num>
  <w:num w:numId="4" w16cid:durableId="1158959409">
    <w:abstractNumId w:val="6"/>
  </w:num>
  <w:num w:numId="5" w16cid:durableId="747651810">
    <w:abstractNumId w:val="1"/>
  </w:num>
  <w:num w:numId="6" w16cid:durableId="767701531">
    <w:abstractNumId w:val="4"/>
  </w:num>
  <w:num w:numId="7" w16cid:durableId="117259272">
    <w:abstractNumId w:val="2"/>
  </w:num>
  <w:num w:numId="8" w16cid:durableId="1916280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MANATT||1~404777608||2~4||3~CHCANYS_Ambient Research Summary 7.11.26||5~RABRAHAM||6~RSEIGEL||7~WORDX||8~DRAFT||10~7/11/2026 10:21:57 PM||11~7/11/2026 10:21:55 PM||13~37152||14~False||17~public||18~RSEIGEL||19~RSEIGEL||21~True||22~True||23~False||24~originated from document #404777608v3||25~57623||26~046||33~MHSCONSULT||60~Community Health Care Association of New York State (CHCANYS)||61~Artificial Intelligence Policies and Procedures Update||68~MHS Consult||74~Abraham, Rakabe||75~Seigel, Randi||76~WORD 2007||77~Draft||82~docx||85~7/11/2026 10:21:58 PM||99~1/1/0001 12:00:00 AM||106~C:\Users\rseigel\AppData\Roaming\iManage\Work\Recent\Community Health Care Association o _ AI Policies and Procedures Update _ 57623-046\CHCANYS_Ambient Research Summary 7.11.26(404777608.4).docx||107~1/1/0001 12:00:00 AM||109~7/11/2026 10:21:58 PM||113~7/11/2026 10:21:55 PM||114~7/11/2026 10:21:57 PM||124~False||"/>
  </w:docVars>
  <w:rsids>
    <w:rsidRoot w:val="0084116E"/>
    <w:rsid w:val="00004AD6"/>
    <w:rsid w:val="00014954"/>
    <w:rsid w:val="00071475"/>
    <w:rsid w:val="00092642"/>
    <w:rsid w:val="000A0C5A"/>
    <w:rsid w:val="000A69C9"/>
    <w:rsid w:val="000D3926"/>
    <w:rsid w:val="000D60BC"/>
    <w:rsid w:val="000E7D7B"/>
    <w:rsid w:val="00104D6B"/>
    <w:rsid w:val="00107425"/>
    <w:rsid w:val="001559EA"/>
    <w:rsid w:val="00184D8D"/>
    <w:rsid w:val="00197C9A"/>
    <w:rsid w:val="001F30D9"/>
    <w:rsid w:val="002055A8"/>
    <w:rsid w:val="00276E49"/>
    <w:rsid w:val="002919A2"/>
    <w:rsid w:val="00296BEC"/>
    <w:rsid w:val="002A7B5B"/>
    <w:rsid w:val="002B0C43"/>
    <w:rsid w:val="002C40E3"/>
    <w:rsid w:val="002D6D15"/>
    <w:rsid w:val="002E3230"/>
    <w:rsid w:val="002E3DF9"/>
    <w:rsid w:val="002F13EB"/>
    <w:rsid w:val="002F3DD7"/>
    <w:rsid w:val="002F6C23"/>
    <w:rsid w:val="0032034B"/>
    <w:rsid w:val="003242D8"/>
    <w:rsid w:val="00342E97"/>
    <w:rsid w:val="00355B8D"/>
    <w:rsid w:val="00364AA6"/>
    <w:rsid w:val="00382DF9"/>
    <w:rsid w:val="003864AA"/>
    <w:rsid w:val="003A6FD5"/>
    <w:rsid w:val="003F1AD1"/>
    <w:rsid w:val="0040142A"/>
    <w:rsid w:val="00416152"/>
    <w:rsid w:val="00422ECD"/>
    <w:rsid w:val="00450A38"/>
    <w:rsid w:val="004577F0"/>
    <w:rsid w:val="00490AA5"/>
    <w:rsid w:val="00492FF2"/>
    <w:rsid w:val="00497E6C"/>
    <w:rsid w:val="004A54B8"/>
    <w:rsid w:val="004A5A39"/>
    <w:rsid w:val="004C2250"/>
    <w:rsid w:val="00503AB8"/>
    <w:rsid w:val="005125B6"/>
    <w:rsid w:val="00514CCC"/>
    <w:rsid w:val="0052745D"/>
    <w:rsid w:val="00530874"/>
    <w:rsid w:val="00551E6B"/>
    <w:rsid w:val="005B0B95"/>
    <w:rsid w:val="005B4B52"/>
    <w:rsid w:val="00607331"/>
    <w:rsid w:val="00637B4B"/>
    <w:rsid w:val="00691FA2"/>
    <w:rsid w:val="006D3AC4"/>
    <w:rsid w:val="006E058D"/>
    <w:rsid w:val="00705BD8"/>
    <w:rsid w:val="00713C35"/>
    <w:rsid w:val="00717ED0"/>
    <w:rsid w:val="00745DB8"/>
    <w:rsid w:val="007572E6"/>
    <w:rsid w:val="00764EED"/>
    <w:rsid w:val="00765D29"/>
    <w:rsid w:val="00766CC8"/>
    <w:rsid w:val="007756FF"/>
    <w:rsid w:val="007A2CB4"/>
    <w:rsid w:val="00813365"/>
    <w:rsid w:val="008333F8"/>
    <w:rsid w:val="0084116E"/>
    <w:rsid w:val="0085752B"/>
    <w:rsid w:val="008664CF"/>
    <w:rsid w:val="00885DA7"/>
    <w:rsid w:val="008B0939"/>
    <w:rsid w:val="008B2304"/>
    <w:rsid w:val="008E1E52"/>
    <w:rsid w:val="00906299"/>
    <w:rsid w:val="0090734E"/>
    <w:rsid w:val="00913989"/>
    <w:rsid w:val="00930434"/>
    <w:rsid w:val="00956E83"/>
    <w:rsid w:val="00991DCB"/>
    <w:rsid w:val="009A32A8"/>
    <w:rsid w:val="009B35C0"/>
    <w:rsid w:val="009D24B7"/>
    <w:rsid w:val="009D3228"/>
    <w:rsid w:val="00A115C2"/>
    <w:rsid w:val="00A76C32"/>
    <w:rsid w:val="00AA15AA"/>
    <w:rsid w:val="00AA36C2"/>
    <w:rsid w:val="00AD0F8A"/>
    <w:rsid w:val="00AD3AEB"/>
    <w:rsid w:val="00AE2A13"/>
    <w:rsid w:val="00AF0B25"/>
    <w:rsid w:val="00AF1E54"/>
    <w:rsid w:val="00B05CF3"/>
    <w:rsid w:val="00B11BEF"/>
    <w:rsid w:val="00B13FAE"/>
    <w:rsid w:val="00B150B7"/>
    <w:rsid w:val="00B17CC4"/>
    <w:rsid w:val="00B322F3"/>
    <w:rsid w:val="00B72D4B"/>
    <w:rsid w:val="00BB0371"/>
    <w:rsid w:val="00BB528E"/>
    <w:rsid w:val="00BC723D"/>
    <w:rsid w:val="00BD1E7E"/>
    <w:rsid w:val="00BF43F4"/>
    <w:rsid w:val="00C454F3"/>
    <w:rsid w:val="00CA212D"/>
    <w:rsid w:val="00D1371C"/>
    <w:rsid w:val="00D16568"/>
    <w:rsid w:val="00D20F29"/>
    <w:rsid w:val="00D27B2E"/>
    <w:rsid w:val="00D52C76"/>
    <w:rsid w:val="00D711F6"/>
    <w:rsid w:val="00D97E57"/>
    <w:rsid w:val="00DD0D98"/>
    <w:rsid w:val="00DE3E5F"/>
    <w:rsid w:val="00E343AF"/>
    <w:rsid w:val="00E73FCC"/>
    <w:rsid w:val="00E748A5"/>
    <w:rsid w:val="00E75E01"/>
    <w:rsid w:val="00E85E10"/>
    <w:rsid w:val="00EA162C"/>
    <w:rsid w:val="00EE4F95"/>
    <w:rsid w:val="00EF3C31"/>
    <w:rsid w:val="00F02C68"/>
    <w:rsid w:val="00F1263E"/>
    <w:rsid w:val="00F12A66"/>
    <w:rsid w:val="00F37149"/>
    <w:rsid w:val="00F55DE0"/>
    <w:rsid w:val="00F838AB"/>
    <w:rsid w:val="00F911B2"/>
    <w:rsid w:val="00F92E93"/>
    <w:rsid w:val="00FB2FF8"/>
    <w:rsid w:val="00FE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0FB22"/>
  <w15:docId w15:val="{43B76271-2F31-4218-A714-DC1C392B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CC4"/>
    <w:pPr>
      <w:spacing w:line="262" w:lineRule="auto"/>
    </w:pPr>
    <w:rPr>
      <w:rFonts w:ascii="Times New Roman" w:eastAsia="Times New Roman" w:hAnsi="Times New Roman" w:cs="Times New Roman"/>
    </w:rPr>
  </w:style>
  <w:style w:type="paragraph" w:styleId="Heading1">
    <w:name w:val="heading 1"/>
    <w:basedOn w:val="Normal"/>
    <w:link w:val="Heading1Char"/>
    <w:uiPriority w:val="9"/>
    <w:qFormat/>
    <w:rsid w:val="00D16568"/>
    <w:pPr>
      <w:spacing w:after="24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6568"/>
    <w:pPr>
      <w:spacing w:after="240"/>
      <w:jc w:val="both"/>
    </w:pPr>
  </w:style>
  <w:style w:type="paragraph" w:styleId="ListParagraph">
    <w:name w:val="List Paragraph"/>
    <w:basedOn w:val="Normal"/>
    <w:link w:val="ListParagraphChar"/>
    <w:uiPriority w:val="34"/>
    <w:qFormat/>
    <w:pPr>
      <w:ind w:left="989" w:right="355"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104D6B"/>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B150B7"/>
    <w:rPr>
      <w:sz w:val="20"/>
      <w:szCs w:val="20"/>
    </w:rPr>
  </w:style>
  <w:style w:type="character" w:customStyle="1" w:styleId="FootnoteTextChar">
    <w:name w:val="Footnote Text Char"/>
    <w:basedOn w:val="DefaultParagraphFont"/>
    <w:link w:val="FootnoteText"/>
    <w:uiPriority w:val="99"/>
    <w:rsid w:val="00B150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50B7"/>
    <w:rPr>
      <w:vertAlign w:val="superscript"/>
    </w:rPr>
  </w:style>
  <w:style w:type="character" w:styleId="Hyperlink">
    <w:name w:val="Hyperlink"/>
    <w:basedOn w:val="DefaultParagraphFont"/>
    <w:uiPriority w:val="99"/>
    <w:unhideWhenUsed/>
    <w:rsid w:val="002F3DD7"/>
    <w:rPr>
      <w:color w:val="0000FF" w:themeColor="hyperlink"/>
      <w:u w:val="single"/>
    </w:rPr>
  </w:style>
  <w:style w:type="character" w:styleId="FollowedHyperlink">
    <w:name w:val="FollowedHyperlink"/>
    <w:basedOn w:val="DefaultParagraphFont"/>
    <w:uiPriority w:val="99"/>
    <w:semiHidden/>
    <w:unhideWhenUsed/>
    <w:rsid w:val="002F3DD7"/>
    <w:rPr>
      <w:color w:val="800080" w:themeColor="followedHyperlink"/>
      <w:u w:val="single"/>
    </w:rPr>
  </w:style>
  <w:style w:type="paragraph" w:styleId="Header">
    <w:name w:val="header"/>
    <w:basedOn w:val="Normal"/>
    <w:link w:val="HeaderChar"/>
    <w:uiPriority w:val="99"/>
    <w:unhideWhenUsed/>
    <w:rsid w:val="002F6C23"/>
    <w:pPr>
      <w:tabs>
        <w:tab w:val="center" w:pos="4680"/>
        <w:tab w:val="right" w:pos="9360"/>
      </w:tabs>
    </w:pPr>
  </w:style>
  <w:style w:type="character" w:customStyle="1" w:styleId="HeaderChar">
    <w:name w:val="Header Char"/>
    <w:basedOn w:val="DefaultParagraphFont"/>
    <w:link w:val="Header"/>
    <w:uiPriority w:val="99"/>
    <w:rsid w:val="002F6C23"/>
    <w:rPr>
      <w:rFonts w:ascii="Times New Roman" w:eastAsia="Times New Roman" w:hAnsi="Times New Roman" w:cs="Times New Roman"/>
    </w:rPr>
  </w:style>
  <w:style w:type="paragraph" w:styleId="Footer">
    <w:name w:val="footer"/>
    <w:basedOn w:val="Normal"/>
    <w:link w:val="FooterChar"/>
    <w:uiPriority w:val="99"/>
    <w:unhideWhenUsed/>
    <w:rsid w:val="002F6C23"/>
    <w:pPr>
      <w:tabs>
        <w:tab w:val="center" w:pos="4680"/>
        <w:tab w:val="right" w:pos="9360"/>
      </w:tabs>
    </w:pPr>
  </w:style>
  <w:style w:type="character" w:customStyle="1" w:styleId="FooterChar">
    <w:name w:val="Footer Char"/>
    <w:basedOn w:val="DefaultParagraphFont"/>
    <w:link w:val="Footer"/>
    <w:uiPriority w:val="99"/>
    <w:rsid w:val="002F6C2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05CF3"/>
    <w:rPr>
      <w:sz w:val="16"/>
      <w:szCs w:val="16"/>
    </w:rPr>
  </w:style>
  <w:style w:type="paragraph" w:styleId="CommentText">
    <w:name w:val="annotation text"/>
    <w:basedOn w:val="Normal"/>
    <w:link w:val="CommentTextChar"/>
    <w:uiPriority w:val="99"/>
    <w:unhideWhenUsed/>
    <w:rsid w:val="00B05CF3"/>
    <w:rPr>
      <w:sz w:val="20"/>
      <w:szCs w:val="20"/>
    </w:rPr>
  </w:style>
  <w:style w:type="character" w:customStyle="1" w:styleId="CommentTextChar">
    <w:name w:val="Comment Text Char"/>
    <w:basedOn w:val="DefaultParagraphFont"/>
    <w:link w:val="CommentText"/>
    <w:uiPriority w:val="99"/>
    <w:rsid w:val="00B05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5CF3"/>
    <w:rPr>
      <w:b/>
      <w:bCs/>
    </w:rPr>
  </w:style>
  <w:style w:type="character" w:customStyle="1" w:styleId="CommentSubjectChar">
    <w:name w:val="Comment Subject Char"/>
    <w:basedOn w:val="CommentTextChar"/>
    <w:link w:val="CommentSubject"/>
    <w:uiPriority w:val="99"/>
    <w:semiHidden/>
    <w:rsid w:val="00B05CF3"/>
    <w:rPr>
      <w:rFonts w:ascii="Times New Roman" w:eastAsia="Times New Roman" w:hAnsi="Times New Roman" w:cs="Times New Roman"/>
      <w:b/>
      <w:bCs/>
      <w:sz w:val="20"/>
      <w:szCs w:val="20"/>
    </w:rPr>
  </w:style>
  <w:style w:type="paragraph" w:customStyle="1" w:styleId="Bullet1">
    <w:name w:val="Bullet 1"/>
    <w:basedOn w:val="ListParagraph"/>
    <w:link w:val="Bullet1Char"/>
    <w:qFormat/>
    <w:rsid w:val="00D16568"/>
    <w:pPr>
      <w:numPr>
        <w:numId w:val="7"/>
      </w:numPr>
      <w:spacing w:after="240"/>
    </w:pPr>
  </w:style>
  <w:style w:type="paragraph" w:styleId="BodyText2">
    <w:name w:val="Body Text 2"/>
    <w:basedOn w:val="BodyText"/>
    <w:link w:val="BodyText2Char"/>
    <w:uiPriority w:val="99"/>
    <w:unhideWhenUsed/>
    <w:rsid w:val="00D16568"/>
    <w:pPr>
      <w:ind w:left="720"/>
    </w:pPr>
  </w:style>
  <w:style w:type="character" w:customStyle="1" w:styleId="BodyText2Char">
    <w:name w:val="Body Text 2 Char"/>
    <w:basedOn w:val="DefaultParagraphFont"/>
    <w:link w:val="BodyText2"/>
    <w:uiPriority w:val="99"/>
    <w:rsid w:val="00D16568"/>
    <w:rPr>
      <w:rFonts w:ascii="Times New Roman" w:eastAsia="Times New Roman" w:hAnsi="Times New Roman" w:cs="Times New Roman"/>
    </w:rPr>
  </w:style>
  <w:style w:type="paragraph" w:styleId="Title">
    <w:name w:val="Title"/>
    <w:basedOn w:val="Normal"/>
    <w:next w:val="Normal"/>
    <w:link w:val="TitleChar"/>
    <w:uiPriority w:val="10"/>
    <w:qFormat/>
    <w:rsid w:val="00D16568"/>
    <w:pPr>
      <w:spacing w:after="240"/>
      <w:ind w:right="1"/>
      <w:jc w:val="center"/>
    </w:pPr>
    <w:rPr>
      <w:b/>
    </w:rPr>
  </w:style>
  <w:style w:type="character" w:customStyle="1" w:styleId="TitleChar">
    <w:name w:val="Title Char"/>
    <w:basedOn w:val="DefaultParagraphFont"/>
    <w:link w:val="Title"/>
    <w:uiPriority w:val="10"/>
    <w:rsid w:val="00D16568"/>
    <w:rPr>
      <w:rFonts w:ascii="Times New Roman" w:eastAsia="Times New Roman" w:hAnsi="Times New Roman" w:cs="Times New Roman"/>
      <w:b/>
    </w:rPr>
  </w:style>
  <w:style w:type="table" w:styleId="TableGrid">
    <w:name w:val="Table Grid"/>
    <w:basedOn w:val="TableNormal"/>
    <w:uiPriority w:val="39"/>
    <w:rsid w:val="00B17CC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C454F3"/>
    <w:pPr>
      <w:tabs>
        <w:tab w:val="clear" w:pos="4680"/>
        <w:tab w:val="clear" w:pos="9360"/>
      </w:tabs>
      <w:spacing w:line="240" w:lineRule="auto"/>
    </w:pPr>
    <w:rPr>
      <w:sz w:val="16"/>
      <w:szCs w:val="20"/>
    </w:rPr>
  </w:style>
  <w:style w:type="character" w:customStyle="1" w:styleId="ListParagraphChar">
    <w:name w:val="List Paragraph Char"/>
    <w:basedOn w:val="DefaultParagraphFont"/>
    <w:link w:val="ListParagraph"/>
    <w:uiPriority w:val="34"/>
    <w:rsid w:val="00C454F3"/>
    <w:rPr>
      <w:rFonts w:ascii="Times New Roman" w:eastAsia="Times New Roman" w:hAnsi="Times New Roman" w:cs="Times New Roman"/>
    </w:rPr>
  </w:style>
  <w:style w:type="character" w:customStyle="1" w:styleId="Bullet1Char">
    <w:name w:val="Bullet 1 Char"/>
    <w:basedOn w:val="ListParagraphChar"/>
    <w:link w:val="Bullet1"/>
    <w:rsid w:val="00C454F3"/>
    <w:rPr>
      <w:rFonts w:ascii="Times New Roman" w:eastAsia="Times New Roman" w:hAnsi="Times New Roman" w:cs="Times New Roman"/>
    </w:rPr>
  </w:style>
  <w:style w:type="character" w:customStyle="1" w:styleId="DocIDChar">
    <w:name w:val="DocID Char"/>
    <w:basedOn w:val="Bullet1Char"/>
    <w:link w:val="DocID"/>
    <w:rsid w:val="00C454F3"/>
    <w:rPr>
      <w:rFonts w:ascii="Times New Roman" w:eastAsia="Times New Roman" w:hAnsi="Times New Roman" w:cs="Times New Roman"/>
      <w:sz w:val="16"/>
      <w:szCs w:val="20"/>
      <w:lang w:val="en-US" w:eastAsia="en-US"/>
    </w:rPr>
  </w:style>
  <w:style w:type="character" w:customStyle="1" w:styleId="Heading1Char">
    <w:name w:val="Heading 1 Char"/>
    <w:basedOn w:val="DefaultParagraphFont"/>
    <w:link w:val="Heading1"/>
    <w:uiPriority w:val="9"/>
    <w:rsid w:val="00BC723D"/>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BC72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1"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AC3EB0-98A0-4E49-89B3-DA69AA25F278}">
  <we:reference id="15aacfb1-b0aa-4184-aca4-5fdc2a6854b4" version="1.0.0.4" store="EXCatalog" storeType="EXCatalog"/>
  <we:alternateReferences>
    <we:reference id="WA200007271" version="1.0.0.4"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Manatt!404777608.4</documentid>
  <senderid>RSEIGEL</senderid>
  <senderemail>RSEIGEL@MANATT.COM</senderemail>
  <lastmodified>2026-07-11T18:33:00.0000000-04:00</lastmodified>
  <database>Manatt</database>
</properties>
</file>

<file path=customXml/itemProps1.xml><?xml version="1.0" encoding="utf-8"?>
<ds:datastoreItem xmlns:ds="http://schemas.openxmlformats.org/officeDocument/2006/customXml" ds:itemID="{53EF1C2F-636F-447B-A56C-0D16E7F4D93C}">
  <ds:schemaRefs>
    <ds:schemaRef ds:uri="http://schemas.openxmlformats.org/officeDocument/2006/bibliography"/>
  </ds:schemaRefs>
</ds:datastoreItem>
</file>

<file path=customXml/itemProps2.xml><?xml version="1.0" encoding="utf-8"?>
<ds:datastoreItem xmlns:ds="http://schemas.openxmlformats.org/officeDocument/2006/customXml" ds:itemID="{0859DDDB-E704-4725-BB9E-674527E0DAB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 Proofread</dc:creator>
  <cp:keywords/>
  <cp:lastModifiedBy>Avery Epstein</cp:lastModifiedBy>
  <cp:revision>3</cp:revision>
  <dcterms:created xsi:type="dcterms:W3CDTF">2026-07-13T19:47:00Z</dcterms:created>
  <dcterms:modified xsi:type="dcterms:W3CDTF">2026-07-13T19:48:00Z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Acrobat PDFMaker 20 for Word</vt:lpwstr>
  </property>
  <property fmtid="{D5CDD505-2E9C-101B-9397-08002B2CF9AE}" pid="4" name="LastSaved">
    <vt:filetime>2026-05-08T00:00:00Z</vt:filetime>
  </property>
  <property fmtid="{D5CDD505-2E9C-101B-9397-08002B2CF9AE}" pid="5" name="Producer">
    <vt:lpwstr>Adobe PDF Library 20.5.54</vt:lpwstr>
  </property>
  <property fmtid="{D5CDD505-2E9C-101B-9397-08002B2CF9AE}" pid="6" name="SourceModified">
    <vt:lpwstr/>
  </property>
  <property fmtid="{D5CDD505-2E9C-101B-9397-08002B2CF9AE}" pid="7" name="CUS_DocIDString">
    <vt:lpwstr>404777608.3</vt:lpwstr>
  </property>
  <property fmtid="{D5CDD505-2E9C-101B-9397-08002B2CF9AE}" pid="8" name="CUS_DocIDChunk0">
    <vt:lpwstr>404777608.3</vt:lpwstr>
  </property>
  <property fmtid="{D5CDD505-2E9C-101B-9397-08002B2CF9AE}" pid="9" name="CUS_DocIDActiveBits">
    <vt:lpwstr>98304</vt:lpwstr>
  </property>
  <property fmtid="{D5CDD505-2E9C-101B-9397-08002B2CF9AE}" pid="10" name="CUS_DocIDLocation">
    <vt:lpwstr>EVERY_PAGE</vt:lpwstr>
  </property>
  <property fmtid="{D5CDD505-2E9C-101B-9397-08002B2CF9AE}" pid="11" name="CUS_DocIDReference">
    <vt:lpwstr>everyPage</vt:lpwstr>
  </property>
  <property fmtid="{D5CDD505-2E9C-101B-9397-08002B2CF9AE}" pid="12" name="hydoc648df69a6dde12e6">
    <vt:lpwstr>019f5346-aa22-7850-8bf6-095ab013a97e</vt:lpwstr>
  </property>
</Properties>
</file>