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6DF1" w14:textId="77777777" w:rsidR="001E1CCC" w:rsidRPr="001E1CCC" w:rsidRDefault="001E1CCC" w:rsidP="001E1CCC">
      <w:pPr>
        <w:widowControl w:val="0"/>
        <w:autoSpaceDE w:val="0"/>
        <w:autoSpaceDN w:val="0"/>
        <w:spacing w:after="240" w:line="262" w:lineRule="auto"/>
        <w:jc w:val="center"/>
        <w:outlineLvl w:val="0"/>
        <w:rPr>
          <w:rFonts w:ascii="Times New Roman" w:eastAsia="Times New Roman" w:hAnsi="Times New Roman" w:cs="Times New Roman"/>
          <w:b/>
          <w:bCs/>
          <w:kern w:val="0"/>
          <w:sz w:val="22"/>
          <w:szCs w:val="22"/>
          <w14:ligatures w14:val="none"/>
        </w:rPr>
      </w:pPr>
      <w:r w:rsidRPr="001E1CCC">
        <w:rPr>
          <w:rFonts w:ascii="Times New Roman" w:eastAsia="Times New Roman" w:hAnsi="Times New Roman" w:cs="Times New Roman"/>
          <w:b/>
          <w:bCs/>
          <w:kern w:val="0"/>
          <w:sz w:val="22"/>
          <w:szCs w:val="22"/>
          <w14:ligatures w14:val="none"/>
        </w:rPr>
        <w:t>EXHIBIT</w:t>
      </w:r>
      <w:r w:rsidRPr="001E1CCC">
        <w:rPr>
          <w:rFonts w:ascii="Times New Roman" w:eastAsia="Times New Roman" w:hAnsi="Times New Roman" w:cs="Times New Roman"/>
          <w:b/>
          <w:bCs/>
          <w:spacing w:val="-5"/>
          <w:kern w:val="0"/>
          <w:sz w:val="22"/>
          <w:szCs w:val="22"/>
          <w14:ligatures w14:val="none"/>
        </w:rPr>
        <w:t xml:space="preserve"> </w:t>
      </w:r>
      <w:r w:rsidRPr="001E1CCC">
        <w:rPr>
          <w:rFonts w:ascii="Times New Roman" w:eastAsia="Times New Roman" w:hAnsi="Times New Roman" w:cs="Times New Roman"/>
          <w:b/>
          <w:bCs/>
          <w:spacing w:val="-10"/>
          <w:kern w:val="0"/>
          <w:sz w:val="22"/>
          <w:szCs w:val="22"/>
          <w14:ligatures w14:val="none"/>
        </w:rPr>
        <w:t>1</w:t>
      </w:r>
    </w:p>
    <w:p w14:paraId="22128899" w14:textId="77777777" w:rsidR="001E1CCC" w:rsidRPr="001E1CCC" w:rsidRDefault="001E1CCC" w:rsidP="001E1CCC">
      <w:pPr>
        <w:widowControl w:val="0"/>
        <w:autoSpaceDE w:val="0"/>
        <w:autoSpaceDN w:val="0"/>
        <w:spacing w:after="240" w:line="262" w:lineRule="auto"/>
        <w:ind w:right="1"/>
        <w:jc w:val="center"/>
        <w:rPr>
          <w:rFonts w:ascii="Times New Roman" w:eastAsia="Times New Roman" w:hAnsi="Times New Roman" w:cs="Times New Roman"/>
          <w:b/>
          <w:kern w:val="0"/>
          <w:sz w:val="22"/>
          <w:szCs w:val="22"/>
          <w14:ligatures w14:val="none"/>
        </w:rPr>
      </w:pPr>
      <w:r w:rsidRPr="001E1CCC">
        <w:rPr>
          <w:rFonts w:ascii="Times New Roman" w:eastAsia="Times New Roman" w:hAnsi="Times New Roman" w:cs="Times New Roman"/>
          <w:b/>
          <w:kern w:val="0"/>
          <w:sz w:val="22"/>
          <w:szCs w:val="22"/>
          <w14:ligatures w14:val="none"/>
        </w:rPr>
        <w:t>Provider</w:t>
      </w:r>
      <w:r w:rsidRPr="001E1CCC">
        <w:rPr>
          <w:rFonts w:ascii="Times New Roman" w:eastAsia="Times New Roman" w:hAnsi="Times New Roman" w:cs="Times New Roman"/>
          <w:b/>
          <w:spacing w:val="-14"/>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Consent</w:t>
      </w:r>
      <w:r w:rsidRPr="001E1CCC">
        <w:rPr>
          <w:rFonts w:ascii="Times New Roman" w:eastAsia="Times New Roman" w:hAnsi="Times New Roman" w:cs="Times New Roman"/>
          <w:b/>
          <w:spacing w:val="-10"/>
          <w:kern w:val="0"/>
          <w:sz w:val="22"/>
          <w:szCs w:val="22"/>
          <w14:ligatures w14:val="none"/>
        </w:rPr>
        <w:t xml:space="preserve"> </w:t>
      </w:r>
      <w:proofErr w:type="gramStart"/>
      <w:r w:rsidRPr="001E1CCC">
        <w:rPr>
          <w:rFonts w:ascii="Times New Roman" w:eastAsia="Times New Roman" w:hAnsi="Times New Roman" w:cs="Times New Roman"/>
          <w:b/>
          <w:kern w:val="0"/>
          <w:sz w:val="22"/>
          <w:szCs w:val="22"/>
          <w14:ligatures w14:val="none"/>
        </w:rPr>
        <w:t>to</w:t>
      </w:r>
      <w:proofErr w:type="gramEnd"/>
      <w:r w:rsidRPr="001E1CCC">
        <w:rPr>
          <w:rFonts w:ascii="Times New Roman" w:eastAsia="Times New Roman" w:hAnsi="Times New Roman" w:cs="Times New Roman"/>
          <w:b/>
          <w:spacing w:val="-8"/>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the</w:t>
      </w:r>
      <w:r w:rsidRPr="001E1CCC">
        <w:rPr>
          <w:rFonts w:ascii="Times New Roman" w:eastAsia="Times New Roman" w:hAnsi="Times New Roman" w:cs="Times New Roman"/>
          <w:b/>
          <w:spacing w:val="-9"/>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Use</w:t>
      </w:r>
      <w:r w:rsidRPr="001E1CCC">
        <w:rPr>
          <w:rFonts w:ascii="Times New Roman" w:eastAsia="Times New Roman" w:hAnsi="Times New Roman" w:cs="Times New Roman"/>
          <w:b/>
          <w:spacing w:val="-9"/>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of</w:t>
      </w:r>
      <w:r w:rsidRPr="001E1CCC">
        <w:rPr>
          <w:rFonts w:ascii="Times New Roman" w:eastAsia="Times New Roman" w:hAnsi="Times New Roman" w:cs="Times New Roman"/>
          <w:b/>
          <w:spacing w:val="-13"/>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Ambient</w:t>
      </w:r>
      <w:r w:rsidRPr="001E1CCC">
        <w:rPr>
          <w:rFonts w:ascii="Times New Roman" w:eastAsia="Times New Roman" w:hAnsi="Times New Roman" w:cs="Times New Roman"/>
          <w:b/>
          <w:spacing w:val="-8"/>
          <w:kern w:val="0"/>
          <w:sz w:val="22"/>
          <w:szCs w:val="22"/>
          <w14:ligatures w14:val="none"/>
        </w:rPr>
        <w:t xml:space="preserve"> </w:t>
      </w:r>
      <w:r w:rsidRPr="001E1CCC">
        <w:rPr>
          <w:rFonts w:ascii="Times New Roman" w:eastAsia="Times New Roman" w:hAnsi="Times New Roman" w:cs="Times New Roman"/>
          <w:b/>
          <w:kern w:val="0"/>
          <w:sz w:val="22"/>
          <w:szCs w:val="22"/>
          <w14:ligatures w14:val="none"/>
        </w:rPr>
        <w:t>Intelligence</w:t>
      </w:r>
      <w:r w:rsidRPr="001E1CCC">
        <w:rPr>
          <w:rFonts w:ascii="Times New Roman" w:eastAsia="Times New Roman" w:hAnsi="Times New Roman" w:cs="Times New Roman"/>
          <w:b/>
          <w:spacing w:val="-12"/>
          <w:kern w:val="0"/>
          <w:sz w:val="22"/>
          <w:szCs w:val="22"/>
          <w14:ligatures w14:val="none"/>
        </w:rPr>
        <w:t xml:space="preserve"> </w:t>
      </w:r>
      <w:r w:rsidRPr="001E1CCC">
        <w:rPr>
          <w:rFonts w:ascii="Times New Roman" w:eastAsia="Times New Roman" w:hAnsi="Times New Roman" w:cs="Times New Roman"/>
          <w:b/>
          <w:spacing w:val="-2"/>
          <w:kern w:val="0"/>
          <w:sz w:val="22"/>
          <w:szCs w:val="22"/>
          <w14:ligatures w14:val="none"/>
        </w:rPr>
        <w:t>Tools</w:t>
      </w:r>
    </w:p>
    <w:p w14:paraId="3C0F2B73" w14:textId="77777777" w:rsidR="001E1CCC" w:rsidRPr="001E1CCC" w:rsidRDefault="001E1CCC" w:rsidP="001E1CCC">
      <w:pPr>
        <w:widowControl w:val="0"/>
        <w:autoSpaceDE w:val="0"/>
        <w:autoSpaceDN w:val="0"/>
        <w:spacing w:after="240" w:line="262" w:lineRule="auto"/>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[Provider</w:t>
      </w:r>
      <w:r w:rsidRPr="001E1CCC">
        <w:rPr>
          <w:rFonts w:ascii="Times New Roman" w:eastAsia="Times New Roman" w:hAnsi="Times New Roman" w:cs="Times New Roman"/>
          <w:spacing w:val="4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Name]</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has</w:t>
      </w:r>
      <w:r w:rsidRPr="001E1CCC">
        <w:rPr>
          <w:rFonts w:ascii="Times New Roman" w:eastAsia="Times New Roman" w:hAnsi="Times New Roman" w:cs="Times New Roman"/>
          <w:spacing w:val="-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approved</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implementation</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use</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of</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certain</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artificial</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intelligence</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enabled</w:t>
      </w:r>
      <w:r w:rsidRPr="001E1CCC">
        <w:rPr>
          <w:rFonts w:ascii="Times New Roman" w:eastAsia="Times New Roman" w:hAnsi="Times New Roman" w:cs="Times New Roman"/>
          <w:spacing w:val="-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ambient listening (ambient intelligence) tools in the clinical setting to help support your clinical documentation practice. This tool is used to supplement and support you and not to replace your clinical judgment.</w:t>
      </w:r>
    </w:p>
    <w:p w14:paraId="2D02BAC3" w14:textId="77777777" w:rsidR="001E1CCC" w:rsidRPr="001E1CCC" w:rsidRDefault="001E1CCC" w:rsidP="001E1CCC">
      <w:pPr>
        <w:widowControl w:val="0"/>
        <w:autoSpaceDE w:val="0"/>
        <w:autoSpaceDN w:val="0"/>
        <w:spacing w:after="240" w:line="262" w:lineRule="auto"/>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This</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form</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is</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inform</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you</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of</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implications</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of</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obtain</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your</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informed</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consent</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use</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of</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tools</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for each patient encounter you provide on behalf of [Provider Name], which will record the voice of anyone in the room during the patient encounter.</w:t>
      </w:r>
    </w:p>
    <w:p w14:paraId="5CC39877" w14:textId="77777777" w:rsidR="001E1CCC" w:rsidRPr="001E1CCC" w:rsidRDefault="001E1CCC" w:rsidP="001E1CCC">
      <w:pPr>
        <w:widowControl w:val="0"/>
        <w:autoSpaceDE w:val="0"/>
        <w:autoSpaceDN w:val="0"/>
        <w:spacing w:after="240" w:line="262" w:lineRule="auto"/>
        <w:ind w:left="720" w:right="355" w:hanging="360"/>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AI tools offer administrative support</w:t>
      </w:r>
      <w:r w:rsidRPr="001E1CCC">
        <w:rPr>
          <w:rFonts w:ascii="Times New Roman" w:eastAsia="Times New Roman" w:hAnsi="Times New Roman" w:cs="Times New Roman"/>
          <w:spacing w:val="4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during patient encounters by using generative AI transcription technology</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1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produce</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draft</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clinical</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notes</w:t>
      </w:r>
      <w:r w:rsidRPr="001E1CCC">
        <w:rPr>
          <w:rFonts w:ascii="Times New Roman" w:eastAsia="Times New Roman" w:hAnsi="Times New Roman" w:cs="Times New Roman"/>
          <w:spacing w:val="-12"/>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chart</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summaries</w:t>
      </w:r>
      <w:r w:rsidRPr="001E1CCC">
        <w:rPr>
          <w:rFonts w:ascii="Times New Roman" w:eastAsia="Times New Roman" w:hAnsi="Times New Roman" w:cs="Times New Roman"/>
          <w:spacing w:val="-12"/>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real-time.</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tools</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are</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intended</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 xml:space="preserve">reduce the amount of time and work providers must </w:t>
      </w:r>
      <w:proofErr w:type="gramStart"/>
      <w:r w:rsidRPr="001E1CCC">
        <w:rPr>
          <w:rFonts w:ascii="Times New Roman" w:eastAsia="Times New Roman" w:hAnsi="Times New Roman" w:cs="Times New Roman"/>
          <w:kern w:val="0"/>
          <w:sz w:val="22"/>
          <w:szCs w:val="22"/>
          <w14:ligatures w14:val="none"/>
        </w:rPr>
        <w:t>devote</w:t>
      </w:r>
      <w:proofErr w:type="gramEnd"/>
      <w:r w:rsidRPr="001E1CCC">
        <w:rPr>
          <w:rFonts w:ascii="Times New Roman" w:eastAsia="Times New Roman" w:hAnsi="Times New Roman" w:cs="Times New Roman"/>
          <w:kern w:val="0"/>
          <w:sz w:val="22"/>
          <w:szCs w:val="22"/>
          <w14:ligatures w14:val="none"/>
        </w:rPr>
        <w:t xml:space="preserve"> to documenting their services.</w:t>
      </w:r>
    </w:p>
    <w:p w14:paraId="56BCEDF6" w14:textId="77777777" w:rsidR="001E1CCC" w:rsidRPr="001E1CCC" w:rsidRDefault="001E1CCC" w:rsidP="001E1CCC">
      <w:pPr>
        <w:widowControl w:val="0"/>
        <w:autoSpaceDE w:val="0"/>
        <w:autoSpaceDN w:val="0"/>
        <w:spacing w:after="240" w:line="262" w:lineRule="auto"/>
        <w:ind w:left="720" w:right="355" w:hanging="360"/>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tools</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record,</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transcribe,</w:t>
      </w:r>
      <w:r w:rsidRPr="001E1CCC">
        <w:rPr>
          <w:rFonts w:ascii="Times New Roman" w:eastAsia="Times New Roman" w:hAnsi="Times New Roman" w:cs="Times New Roman"/>
          <w:spacing w:val="-1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analyze</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provider-patient</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conversations</w:t>
      </w:r>
      <w:r w:rsidRPr="001E1CCC">
        <w:rPr>
          <w:rFonts w:ascii="Times New Roman" w:eastAsia="Times New Roman" w:hAnsi="Times New Roman" w:cs="Times New Roman"/>
          <w:spacing w:val="-1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as</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they</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occur,</w:t>
      </w:r>
      <w:r w:rsidRPr="001E1CCC">
        <w:rPr>
          <w:rFonts w:ascii="Times New Roman" w:eastAsia="Times New Roman" w:hAnsi="Times New Roman" w:cs="Times New Roman"/>
          <w:spacing w:val="-14"/>
          <w:kern w:val="0"/>
          <w:sz w:val="22"/>
          <w:szCs w:val="22"/>
          <w14:ligatures w14:val="none"/>
        </w:rPr>
        <w:t xml:space="preserve"> </w:t>
      </w:r>
      <w:proofErr w:type="gramStart"/>
      <w:r w:rsidRPr="001E1CCC">
        <w:rPr>
          <w:rFonts w:ascii="Times New Roman" w:eastAsia="Times New Roman" w:hAnsi="Times New Roman" w:cs="Times New Roman"/>
          <w:kern w:val="0"/>
          <w:sz w:val="22"/>
          <w:szCs w:val="22"/>
          <w14:ligatures w14:val="none"/>
        </w:rPr>
        <w:t>similar</w:t>
      </w:r>
      <w:r w:rsidRPr="001E1CCC">
        <w:rPr>
          <w:rFonts w:ascii="Times New Roman" w:eastAsia="Times New Roman" w:hAnsi="Times New Roman" w:cs="Times New Roman"/>
          <w:spacing w:val="-1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proofErr w:type="gramEnd"/>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how</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scribe may draft notes for a provider during a patient encounter.</w:t>
      </w:r>
    </w:p>
    <w:p w14:paraId="2901E351" w14:textId="77777777" w:rsidR="001E1CCC" w:rsidRPr="001E1CCC" w:rsidRDefault="001E1CCC" w:rsidP="001E1CCC">
      <w:pPr>
        <w:widowControl w:val="0"/>
        <w:autoSpaceDE w:val="0"/>
        <w:autoSpaceDN w:val="0"/>
        <w:spacing w:after="240" w:line="262" w:lineRule="auto"/>
        <w:ind w:left="720" w:right="355" w:hanging="360"/>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Data collected using</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 tools may also help [Provider Name] identify applicable CPT/HCPCS codes for billing purposes and may be</w:t>
      </w:r>
      <w:r w:rsidRPr="001E1CCC">
        <w:rPr>
          <w:rFonts w:ascii="Times New Roman" w:eastAsia="Times New Roman" w:hAnsi="Times New Roman" w:cs="Times New Roman"/>
          <w:spacing w:val="4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integrated into [Provider Name]’s electronic health record software.</w:t>
      </w:r>
    </w:p>
    <w:p w14:paraId="487A51F3" w14:textId="77777777" w:rsidR="001E1CCC" w:rsidRPr="001E1CCC" w:rsidRDefault="001E1CCC" w:rsidP="001E1CCC">
      <w:pPr>
        <w:widowControl w:val="0"/>
        <w:autoSpaceDE w:val="0"/>
        <w:autoSpaceDN w:val="0"/>
        <w:spacing w:after="240" w:line="262" w:lineRule="auto"/>
        <w:ind w:left="720" w:right="355" w:hanging="360"/>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AI tools may have additional functionality that use generative</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 technology specifically developed for healthcare uses to analyze a patient’s history, genetic information, lifestyle factors, comorbidities, drug allergies</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8"/>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sensitivities,</w:t>
      </w:r>
      <w:r w:rsidRPr="001E1CCC">
        <w:rPr>
          <w:rFonts w:ascii="Times New Roman" w:eastAsia="Times New Roman" w:hAnsi="Times New Roman" w:cs="Times New Roman"/>
          <w:spacing w:val="-9"/>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current</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symptoms.</w:t>
      </w:r>
      <w:r w:rsidRPr="001E1CCC">
        <w:rPr>
          <w:rFonts w:ascii="Times New Roman" w:eastAsia="Times New Roman" w:hAnsi="Times New Roman" w:cs="Times New Roman"/>
          <w:spacing w:val="-14"/>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tools</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then</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compare</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patient’s</w:t>
      </w:r>
      <w:r w:rsidRPr="001E1CCC">
        <w:rPr>
          <w:rFonts w:ascii="Times New Roman" w:eastAsia="Times New Roman" w:hAnsi="Times New Roman" w:cs="Times New Roman"/>
          <w:spacing w:val="-1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information</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w:t>
      </w:r>
      <w:r w:rsidRPr="001E1CCC">
        <w:rPr>
          <w:rFonts w:ascii="Times New Roman" w:eastAsia="Times New Roman" w:hAnsi="Times New Roman" w:cs="Times New Roman"/>
          <w:spacing w:val="-10"/>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large datasets to identify patterns, help providers identify and diagnose diseases and conditions, provide predictions as to the likelihood of complications or the success rate of a particular intervention, and/or create a draft personalized treatment plan for the patient.</w:t>
      </w:r>
    </w:p>
    <w:p w14:paraId="17A6A19C" w14:textId="77777777" w:rsidR="001E1CCC" w:rsidRPr="001E1CCC" w:rsidRDefault="001E1CCC" w:rsidP="001E1CCC">
      <w:pPr>
        <w:widowControl w:val="0"/>
        <w:autoSpaceDE w:val="0"/>
        <w:autoSpaceDN w:val="0"/>
        <w:spacing w:after="240" w:line="262" w:lineRule="auto"/>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You,</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provider,</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b/>
          <w:i/>
          <w:kern w:val="0"/>
          <w:sz w:val="22"/>
          <w:szCs w:val="22"/>
          <w14:ligatures w14:val="none"/>
        </w:rPr>
        <w:t>must</w:t>
      </w:r>
      <w:r w:rsidRPr="001E1CCC">
        <w:rPr>
          <w:rFonts w:ascii="Times New Roman" w:eastAsia="Times New Roman" w:hAnsi="Times New Roman" w:cs="Times New Roman"/>
          <w:b/>
          <w:i/>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review</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as</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necessary,</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edit</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and</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revise</w:t>
      </w:r>
      <w:r w:rsidRPr="001E1CCC">
        <w:rPr>
          <w:rFonts w:ascii="Times New Roman" w:eastAsia="Times New Roman" w:hAnsi="Times New Roman" w:cs="Times New Roman"/>
          <w:spacing w:val="-7"/>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draft</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clinical</w:t>
      </w:r>
      <w:r w:rsidRPr="001E1CCC">
        <w:rPr>
          <w:rFonts w:ascii="Times New Roman" w:eastAsia="Times New Roman" w:hAnsi="Times New Roman" w:cs="Times New Roman"/>
          <w:spacing w:val="-5"/>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note,</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summary</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or</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personalized treatment plan produced by</w:t>
      </w:r>
      <w:r w:rsidRPr="001E1CCC">
        <w:rPr>
          <w:rFonts w:ascii="Times New Roman" w:eastAsia="Times New Roman" w:hAnsi="Times New Roman" w:cs="Times New Roman"/>
          <w:spacing w:val="-6"/>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 tools to ensure quality and accuracy before notes or summaries are incorporated into a</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patient’s</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medical</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record.</w:t>
      </w:r>
      <w:r w:rsidRPr="001E1CCC">
        <w:rPr>
          <w:rFonts w:ascii="Times New Roman" w:eastAsia="Times New Roman" w:hAnsi="Times New Roman" w:cs="Times New Roman"/>
          <w:spacing w:val="-13"/>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tools</w:t>
      </w:r>
      <w:r w:rsidRPr="001E1CCC">
        <w:rPr>
          <w:rFonts w:ascii="Times New Roman" w:eastAsia="Times New Roman" w:hAnsi="Times New Roman" w:cs="Times New Roman"/>
          <w:spacing w:val="-2"/>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are</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aids</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to providers;</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they</w:t>
      </w:r>
      <w:r w:rsidRPr="001E1CCC">
        <w:rPr>
          <w:rFonts w:ascii="Times New Roman" w:eastAsia="Times New Roman" w:hAnsi="Times New Roman" w:cs="Times New Roman"/>
          <w:spacing w:val="-2"/>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are</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not</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substitutes</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for</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provider’s</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exercise</w:t>
      </w:r>
      <w:r w:rsidRPr="001E1CCC">
        <w:rPr>
          <w:rFonts w:ascii="Times New Roman" w:eastAsia="Times New Roman" w:hAnsi="Times New Roman" w:cs="Times New Roman"/>
          <w:spacing w:val="-1"/>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of professional judgment in making clinical decisions and performing other duties related to clinical care.</w:t>
      </w:r>
    </w:p>
    <w:p w14:paraId="6E929857" w14:textId="77777777" w:rsidR="001E1CCC" w:rsidRPr="001E1CCC" w:rsidRDefault="001E1CCC" w:rsidP="001E1CCC">
      <w:pPr>
        <w:widowControl w:val="0"/>
        <w:autoSpaceDE w:val="0"/>
        <w:autoSpaceDN w:val="0"/>
        <w:spacing w:after="240" w:line="262" w:lineRule="auto"/>
        <w:jc w:val="both"/>
        <w:rPr>
          <w:rFonts w:ascii="Times New Roman" w:eastAsia="Times New Roman" w:hAnsi="Times New Roman" w:cs="Times New Roman"/>
          <w:kern w:val="0"/>
          <w:sz w:val="22"/>
          <w:szCs w:val="22"/>
          <w14:ligatures w14:val="none"/>
        </w:rPr>
      </w:pPr>
      <w:r w:rsidRPr="001E1CCC">
        <w:rPr>
          <w:rFonts w:ascii="Times New Roman" w:eastAsia="Times New Roman" w:hAnsi="Times New Roman" w:cs="Times New Roman"/>
          <w:kern w:val="0"/>
          <w:sz w:val="22"/>
          <w:szCs w:val="22"/>
          <w14:ligatures w14:val="none"/>
        </w:rPr>
        <w:t>By signing below, you hereby consent to the use of</w:t>
      </w:r>
      <w:r w:rsidRPr="001E1CCC">
        <w:rPr>
          <w:rFonts w:ascii="Times New Roman" w:eastAsia="Times New Roman" w:hAnsi="Times New Roman" w:cs="Times New Roman"/>
          <w:spacing w:val="-2"/>
          <w:kern w:val="0"/>
          <w:sz w:val="22"/>
          <w:szCs w:val="22"/>
          <w14:ligatures w14:val="none"/>
        </w:rPr>
        <w:t xml:space="preserve"> </w:t>
      </w:r>
      <w:r w:rsidRPr="001E1CCC">
        <w:rPr>
          <w:rFonts w:ascii="Times New Roman" w:eastAsia="Times New Roman" w:hAnsi="Times New Roman" w:cs="Times New Roman"/>
          <w:kern w:val="0"/>
          <w:sz w:val="22"/>
          <w:szCs w:val="22"/>
          <w14:ligatures w14:val="none"/>
        </w:rPr>
        <w:t>AI tools during each patient encounter for which you are a treating or assisting provider at [Provider Name], and you agree to comply with the prevailing standards of professional practice regarding the use of technology in furnishing care to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4"/>
        <w:gridCol w:w="1620"/>
        <w:gridCol w:w="180"/>
        <w:gridCol w:w="206"/>
        <w:gridCol w:w="3600"/>
      </w:tblGrid>
      <w:tr w:rsidR="001E1CCC" w:rsidRPr="001E1CCC" w14:paraId="2765948D" w14:textId="77777777" w:rsidTr="00AD1A6F">
        <w:tc>
          <w:tcPr>
            <w:tcW w:w="2134" w:type="dxa"/>
            <w:gridSpan w:val="2"/>
            <w:vAlign w:val="bottom"/>
          </w:tcPr>
          <w:p w14:paraId="08EB2411" w14:textId="77777777" w:rsidR="001E1CCC" w:rsidRPr="001E1CCC" w:rsidRDefault="001E1CCC" w:rsidP="001E1CCC">
            <w:pPr>
              <w:widowControl w:val="0"/>
              <w:autoSpaceDE w:val="0"/>
              <w:autoSpaceDN w:val="0"/>
              <w:rPr>
                <w:rFonts w:eastAsia="DFKai-SB"/>
                <w:b/>
                <w:bCs/>
                <w:sz w:val="22"/>
                <w:szCs w:val="22"/>
              </w:rPr>
            </w:pPr>
            <w:r w:rsidRPr="001E1CCC">
              <w:rPr>
                <w:rFonts w:eastAsia="DFKai-SB"/>
                <w:b/>
                <w:bCs/>
                <w:sz w:val="22"/>
                <w:szCs w:val="22"/>
              </w:rPr>
              <w:t>Professional’s Name:</w:t>
            </w:r>
          </w:p>
        </w:tc>
        <w:tc>
          <w:tcPr>
            <w:tcW w:w="3986" w:type="dxa"/>
            <w:gridSpan w:val="3"/>
            <w:tcBorders>
              <w:bottom w:val="single" w:sz="4" w:space="0" w:color="auto"/>
            </w:tcBorders>
            <w:vAlign w:val="bottom"/>
          </w:tcPr>
          <w:p w14:paraId="3FD3475D" w14:textId="77777777" w:rsidR="001E1CCC" w:rsidRPr="001E1CCC" w:rsidRDefault="001E1CCC" w:rsidP="001E1CCC">
            <w:pPr>
              <w:widowControl w:val="0"/>
              <w:autoSpaceDE w:val="0"/>
              <w:autoSpaceDN w:val="0"/>
              <w:rPr>
                <w:rFonts w:eastAsia="DFKai-SB"/>
                <w:b/>
                <w:bCs/>
                <w:sz w:val="22"/>
                <w:szCs w:val="22"/>
              </w:rPr>
            </w:pPr>
          </w:p>
        </w:tc>
      </w:tr>
      <w:tr w:rsidR="001E1CCC" w:rsidRPr="001E1CCC" w14:paraId="73D9D285" w14:textId="77777777" w:rsidTr="00AD1A6F">
        <w:trPr>
          <w:trHeight w:val="485"/>
        </w:trPr>
        <w:tc>
          <w:tcPr>
            <w:tcW w:w="2520" w:type="dxa"/>
            <w:gridSpan w:val="4"/>
            <w:vAlign w:val="bottom"/>
          </w:tcPr>
          <w:p w14:paraId="7F00AFEC" w14:textId="77777777" w:rsidR="001E1CCC" w:rsidRPr="001E1CCC" w:rsidRDefault="001E1CCC" w:rsidP="001E1CCC">
            <w:pPr>
              <w:widowControl w:val="0"/>
              <w:autoSpaceDE w:val="0"/>
              <w:autoSpaceDN w:val="0"/>
              <w:rPr>
                <w:rFonts w:eastAsia="DFKai-SB"/>
                <w:b/>
                <w:bCs/>
                <w:sz w:val="22"/>
                <w:szCs w:val="22"/>
              </w:rPr>
            </w:pPr>
            <w:r w:rsidRPr="001E1CCC">
              <w:rPr>
                <w:rFonts w:eastAsia="DFKai-SB"/>
                <w:b/>
                <w:bCs/>
                <w:sz w:val="22"/>
                <w:szCs w:val="22"/>
              </w:rPr>
              <w:t>Professional’s Signature:</w:t>
            </w:r>
          </w:p>
        </w:tc>
        <w:tc>
          <w:tcPr>
            <w:tcW w:w="3600" w:type="dxa"/>
            <w:tcBorders>
              <w:top w:val="single" w:sz="4" w:space="0" w:color="auto"/>
              <w:bottom w:val="single" w:sz="4" w:space="0" w:color="auto"/>
            </w:tcBorders>
          </w:tcPr>
          <w:p w14:paraId="5869F49B" w14:textId="77777777" w:rsidR="001E1CCC" w:rsidRPr="001E1CCC" w:rsidRDefault="001E1CCC" w:rsidP="001E1CCC">
            <w:pPr>
              <w:widowControl w:val="0"/>
              <w:autoSpaceDE w:val="0"/>
              <w:autoSpaceDN w:val="0"/>
              <w:rPr>
                <w:rFonts w:eastAsia="DFKai-SB"/>
                <w:b/>
                <w:bCs/>
                <w:sz w:val="22"/>
                <w:szCs w:val="22"/>
              </w:rPr>
            </w:pPr>
          </w:p>
        </w:tc>
      </w:tr>
      <w:tr w:rsidR="001E1CCC" w:rsidRPr="001E1CCC" w14:paraId="49918B75" w14:textId="77777777" w:rsidTr="00AD1A6F">
        <w:trPr>
          <w:gridAfter w:val="2"/>
          <w:wAfter w:w="3806" w:type="dxa"/>
          <w:trHeight w:val="530"/>
        </w:trPr>
        <w:tc>
          <w:tcPr>
            <w:tcW w:w="514" w:type="dxa"/>
            <w:vAlign w:val="bottom"/>
          </w:tcPr>
          <w:p w14:paraId="066E2DF5" w14:textId="77777777" w:rsidR="001E1CCC" w:rsidRPr="001E1CCC" w:rsidRDefault="001E1CCC" w:rsidP="001E1CCC">
            <w:pPr>
              <w:widowControl w:val="0"/>
              <w:autoSpaceDE w:val="0"/>
              <w:autoSpaceDN w:val="0"/>
              <w:rPr>
                <w:rFonts w:eastAsia="DFKai-SB"/>
                <w:b/>
                <w:bCs/>
                <w:sz w:val="22"/>
                <w:szCs w:val="22"/>
              </w:rPr>
            </w:pPr>
            <w:r w:rsidRPr="001E1CCC">
              <w:rPr>
                <w:rFonts w:eastAsia="DFKai-SB"/>
                <w:b/>
                <w:bCs/>
                <w:sz w:val="22"/>
                <w:szCs w:val="22"/>
              </w:rPr>
              <w:t>Date:</w:t>
            </w:r>
          </w:p>
        </w:tc>
        <w:tc>
          <w:tcPr>
            <w:tcW w:w="1800" w:type="dxa"/>
            <w:gridSpan w:val="2"/>
            <w:tcBorders>
              <w:bottom w:val="single" w:sz="4" w:space="0" w:color="auto"/>
            </w:tcBorders>
            <w:vAlign w:val="bottom"/>
          </w:tcPr>
          <w:p w14:paraId="4BE5CA5F" w14:textId="77777777" w:rsidR="001E1CCC" w:rsidRPr="001E1CCC" w:rsidRDefault="001E1CCC" w:rsidP="001E1CCC">
            <w:pPr>
              <w:widowControl w:val="0"/>
              <w:autoSpaceDE w:val="0"/>
              <w:autoSpaceDN w:val="0"/>
              <w:rPr>
                <w:rFonts w:eastAsia="DFKai-SB"/>
                <w:b/>
                <w:bCs/>
                <w:sz w:val="22"/>
                <w:szCs w:val="22"/>
              </w:rPr>
            </w:pPr>
          </w:p>
        </w:tc>
      </w:tr>
    </w:tbl>
    <w:p w14:paraId="1BA6AB80" w14:textId="77777777" w:rsidR="008409F7" w:rsidRDefault="008409F7"/>
    <w:sectPr w:rsidR="008409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141D" w14:textId="77777777" w:rsidR="008471D4" w:rsidRDefault="008471D4" w:rsidP="001E1CCC">
      <w:pPr>
        <w:spacing w:after="0" w:line="240" w:lineRule="auto"/>
      </w:pPr>
      <w:r>
        <w:separator/>
      </w:r>
    </w:p>
  </w:endnote>
  <w:endnote w:type="continuationSeparator" w:id="0">
    <w:p w14:paraId="77DA0833" w14:textId="77777777" w:rsidR="008471D4" w:rsidRDefault="008471D4" w:rsidP="001E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8AD0" w14:textId="77777777" w:rsidR="008471D4" w:rsidRDefault="008471D4" w:rsidP="001E1CCC">
      <w:pPr>
        <w:spacing w:after="0" w:line="240" w:lineRule="auto"/>
      </w:pPr>
      <w:r>
        <w:separator/>
      </w:r>
    </w:p>
  </w:footnote>
  <w:footnote w:type="continuationSeparator" w:id="0">
    <w:p w14:paraId="430E035E" w14:textId="77777777" w:rsidR="008471D4" w:rsidRDefault="008471D4" w:rsidP="001E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61BA" w14:textId="51E32778" w:rsidR="001E1CCC" w:rsidRDefault="001E1CCC">
    <w:pPr>
      <w:pStyle w:val="Header"/>
    </w:pPr>
    <w:r>
      <w:t>Last updated July 11,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C"/>
    <w:rsid w:val="000C44D6"/>
    <w:rsid w:val="000E52E8"/>
    <w:rsid w:val="001E1CCC"/>
    <w:rsid w:val="00264028"/>
    <w:rsid w:val="00406E78"/>
    <w:rsid w:val="008409F7"/>
    <w:rsid w:val="008471D4"/>
    <w:rsid w:val="00AA2096"/>
    <w:rsid w:val="00F8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ACEE"/>
  <w15:chartTrackingRefBased/>
  <w15:docId w15:val="{116BF1A7-D258-48EF-A767-23D750A6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CCC"/>
    <w:rPr>
      <w:rFonts w:eastAsiaTheme="majorEastAsia" w:cstheme="majorBidi"/>
      <w:color w:val="272727" w:themeColor="text1" w:themeTint="D8"/>
    </w:rPr>
  </w:style>
  <w:style w:type="paragraph" w:styleId="Title">
    <w:name w:val="Title"/>
    <w:basedOn w:val="Normal"/>
    <w:next w:val="Normal"/>
    <w:link w:val="TitleChar"/>
    <w:uiPriority w:val="10"/>
    <w:qFormat/>
    <w:rsid w:val="001E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CCC"/>
    <w:pPr>
      <w:spacing w:before="160"/>
      <w:jc w:val="center"/>
    </w:pPr>
    <w:rPr>
      <w:i/>
      <w:iCs/>
      <w:color w:val="404040" w:themeColor="text1" w:themeTint="BF"/>
    </w:rPr>
  </w:style>
  <w:style w:type="character" w:customStyle="1" w:styleId="QuoteChar">
    <w:name w:val="Quote Char"/>
    <w:basedOn w:val="DefaultParagraphFont"/>
    <w:link w:val="Quote"/>
    <w:uiPriority w:val="29"/>
    <w:rsid w:val="001E1CCC"/>
    <w:rPr>
      <w:i/>
      <w:iCs/>
      <w:color w:val="404040" w:themeColor="text1" w:themeTint="BF"/>
    </w:rPr>
  </w:style>
  <w:style w:type="paragraph" w:styleId="ListParagraph">
    <w:name w:val="List Paragraph"/>
    <w:basedOn w:val="Normal"/>
    <w:uiPriority w:val="34"/>
    <w:qFormat/>
    <w:rsid w:val="001E1CCC"/>
    <w:pPr>
      <w:ind w:left="720"/>
      <w:contextualSpacing/>
    </w:pPr>
  </w:style>
  <w:style w:type="character" w:styleId="IntenseEmphasis">
    <w:name w:val="Intense Emphasis"/>
    <w:basedOn w:val="DefaultParagraphFont"/>
    <w:uiPriority w:val="21"/>
    <w:qFormat/>
    <w:rsid w:val="001E1CCC"/>
    <w:rPr>
      <w:i/>
      <w:iCs/>
      <w:color w:val="0F4761" w:themeColor="accent1" w:themeShade="BF"/>
    </w:rPr>
  </w:style>
  <w:style w:type="paragraph" w:styleId="IntenseQuote">
    <w:name w:val="Intense Quote"/>
    <w:basedOn w:val="Normal"/>
    <w:next w:val="Normal"/>
    <w:link w:val="IntenseQuoteChar"/>
    <w:uiPriority w:val="30"/>
    <w:qFormat/>
    <w:rsid w:val="001E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CCC"/>
    <w:rPr>
      <w:i/>
      <w:iCs/>
      <w:color w:val="0F4761" w:themeColor="accent1" w:themeShade="BF"/>
    </w:rPr>
  </w:style>
  <w:style w:type="character" w:styleId="IntenseReference">
    <w:name w:val="Intense Reference"/>
    <w:basedOn w:val="DefaultParagraphFont"/>
    <w:uiPriority w:val="32"/>
    <w:qFormat/>
    <w:rsid w:val="001E1CCC"/>
    <w:rPr>
      <w:b/>
      <w:bCs/>
      <w:smallCaps/>
      <w:color w:val="0F4761" w:themeColor="accent1" w:themeShade="BF"/>
      <w:spacing w:val="5"/>
    </w:rPr>
  </w:style>
  <w:style w:type="table" w:styleId="TableGrid">
    <w:name w:val="Table Grid"/>
    <w:basedOn w:val="TableNormal"/>
    <w:uiPriority w:val="39"/>
    <w:rsid w:val="001E1CC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CCC"/>
  </w:style>
  <w:style w:type="paragraph" w:styleId="Footer">
    <w:name w:val="footer"/>
    <w:basedOn w:val="Normal"/>
    <w:link w:val="FooterChar"/>
    <w:uiPriority w:val="99"/>
    <w:unhideWhenUsed/>
    <w:rsid w:val="001E1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2296</Characters>
  <Application>Microsoft Office Word</Application>
  <DocSecurity>0</DocSecurity>
  <Lines>38</Lines>
  <Paragraphs>13</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Epstein</dc:creator>
  <cp:keywords/>
  <dc:description/>
  <cp:lastModifiedBy>Avery Epstein</cp:lastModifiedBy>
  <cp:revision>1</cp:revision>
  <dcterms:created xsi:type="dcterms:W3CDTF">2026-07-13T19:49:00Z</dcterms:created>
  <dcterms:modified xsi:type="dcterms:W3CDTF">2026-07-13T19:50:00Z</dcterms:modified>
</cp:coreProperties>
</file>