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697A9F" w:rsidR="003B46CC" w:rsidP="0057502A" w:rsidRDefault="0057502A" w14:paraId="65832A8C" w14:textId="3B79D370">
      <w:pPr>
        <w:jc w:val="center"/>
        <w:rPr>
          <w:b/>
          <w:bCs/>
        </w:rPr>
      </w:pPr>
      <w:r w:rsidRPr="00697A9F">
        <w:rPr>
          <w:b/>
          <w:bCs/>
        </w:rPr>
        <w:t>CURES ACT</w:t>
      </w:r>
      <w:r w:rsidRPr="00697A9F" w:rsidR="00697A9F">
        <w:rPr>
          <w:b/>
          <w:bCs/>
        </w:rPr>
        <w:t xml:space="preserve"> (INFORMATION BLOCKING)</w:t>
      </w:r>
      <w:r w:rsidRPr="00697A9F" w:rsidR="00434587">
        <w:rPr>
          <w:b/>
          <w:bCs/>
        </w:rPr>
        <w:t xml:space="preserve"> RULE</w:t>
      </w:r>
      <w:r w:rsidRPr="00697A9F">
        <w:rPr>
          <w:b/>
          <w:bCs/>
        </w:rPr>
        <w:t xml:space="preserve"> </w:t>
      </w:r>
      <w:r w:rsidRPr="00697A9F" w:rsidR="00763E89">
        <w:rPr>
          <w:b/>
          <w:bCs/>
        </w:rPr>
        <w:t>BASICS</w:t>
      </w:r>
      <w:r w:rsidRPr="00697A9F">
        <w:rPr>
          <w:b/>
          <w:bCs/>
        </w:rPr>
        <w:t xml:space="preserve"> FOR PROVIDERS AND CLINICAL STAFF</w:t>
      </w:r>
    </w:p>
    <w:p w:rsidRPr="00483F2B" w:rsidR="00434587" w:rsidP="0057502A" w:rsidRDefault="00434587" w14:paraId="20D1E6A2" w14:textId="77777777">
      <w:pPr>
        <w:jc w:val="center"/>
        <w:rPr>
          <w:sz w:val="20"/>
          <w:szCs w:val="20"/>
        </w:rPr>
      </w:pPr>
    </w:p>
    <w:p w:rsidRPr="00483F2B" w:rsidR="00434587" w:rsidP="00434587" w:rsidRDefault="00186625" w14:paraId="4D3F64A9" w14:textId="0A9E27E2" w14:noSpellErr="1">
      <w:pPr>
        <w:rPr>
          <w:sz w:val="20"/>
          <w:szCs w:val="20"/>
        </w:rPr>
      </w:pPr>
      <w:bookmarkStart w:name="_Hlk144323168" w:id="0"/>
      <w:r w:rsidRPr="11884649" w:rsidR="00186625">
        <w:rPr>
          <w:sz w:val="20"/>
          <w:szCs w:val="20"/>
        </w:rPr>
        <w:t>In 2020, t</w:t>
      </w:r>
      <w:r w:rsidRPr="11884649" w:rsidR="00434587">
        <w:rPr>
          <w:sz w:val="20"/>
          <w:szCs w:val="20"/>
        </w:rPr>
        <w:t>he Office of the National Coordinator for Health IT (ONC) released the Cures Act final rule regulating</w:t>
      </w:r>
      <w:r w:rsidRPr="11884649" w:rsidR="00697A9F">
        <w:rPr>
          <w:sz w:val="20"/>
          <w:szCs w:val="20"/>
        </w:rPr>
        <w:t>:</w:t>
      </w:r>
      <w:r w:rsidRPr="11884649" w:rsidR="00434587">
        <w:rPr>
          <w:sz w:val="20"/>
          <w:szCs w:val="20"/>
        </w:rPr>
        <w:t xml:space="preserve"> </w:t>
      </w:r>
      <w:r w:rsidRPr="11884649" w:rsidR="00763E89">
        <w:rPr>
          <w:sz w:val="20"/>
          <w:szCs w:val="20"/>
        </w:rPr>
        <w:t xml:space="preserve">(1) </w:t>
      </w:r>
      <w:r w:rsidRPr="11884649" w:rsidR="00434587">
        <w:rPr>
          <w:sz w:val="20"/>
          <w:szCs w:val="20"/>
        </w:rPr>
        <w:t xml:space="preserve">the certification criteria under the voluntary program for certification of Health IT modules, </w:t>
      </w:r>
      <w:r w:rsidRPr="11884649" w:rsidR="00763E89">
        <w:rPr>
          <w:sz w:val="20"/>
          <w:szCs w:val="20"/>
        </w:rPr>
        <w:t xml:space="preserve">(2) </w:t>
      </w:r>
      <w:r w:rsidRPr="11884649" w:rsidR="00434587">
        <w:rPr>
          <w:sz w:val="20"/>
          <w:szCs w:val="20"/>
        </w:rPr>
        <w:t xml:space="preserve">the conduct of developers </w:t>
      </w:r>
      <w:r w:rsidRPr="11884649" w:rsidR="00434587">
        <w:rPr>
          <w:sz w:val="20"/>
          <w:szCs w:val="20"/>
        </w:rPr>
        <w:t>participating</w:t>
      </w:r>
      <w:r w:rsidRPr="11884649" w:rsidR="00434587">
        <w:rPr>
          <w:sz w:val="20"/>
          <w:szCs w:val="20"/>
        </w:rPr>
        <w:t xml:space="preserve"> in the certification program, and </w:t>
      </w:r>
      <w:r w:rsidRPr="11884649" w:rsidR="00763E89">
        <w:rPr>
          <w:b w:val="1"/>
          <w:bCs w:val="1"/>
          <w:sz w:val="20"/>
          <w:szCs w:val="20"/>
        </w:rPr>
        <w:t xml:space="preserve">(3) </w:t>
      </w:r>
      <w:r w:rsidRPr="11884649" w:rsidR="00434587">
        <w:rPr>
          <w:b w:val="1"/>
          <w:bCs w:val="1"/>
          <w:sz w:val="20"/>
          <w:szCs w:val="20"/>
        </w:rPr>
        <w:t xml:space="preserve">the </w:t>
      </w:r>
      <w:r w:rsidRPr="11884649" w:rsidR="00763E89">
        <w:rPr>
          <w:b w:val="1"/>
          <w:bCs w:val="1"/>
          <w:sz w:val="20"/>
          <w:szCs w:val="20"/>
        </w:rPr>
        <w:t xml:space="preserve">electronic </w:t>
      </w:r>
      <w:r w:rsidRPr="11884649" w:rsidR="00434587">
        <w:rPr>
          <w:b w:val="1"/>
          <w:bCs w:val="1"/>
          <w:sz w:val="20"/>
          <w:szCs w:val="20"/>
        </w:rPr>
        <w:t>sharing of health information (i.e., information blocking regulations).</w:t>
      </w:r>
    </w:p>
    <w:bookmarkEnd w:id="0"/>
    <w:p w:rsidRPr="00483F2B" w:rsidR="00434587" w:rsidP="00434587" w:rsidRDefault="00434587" w14:paraId="3FC00955" w14:textId="6438E3F9">
      <w:pPr>
        <w:rPr>
          <w:sz w:val="20"/>
          <w:szCs w:val="20"/>
        </w:rPr>
      </w:pPr>
    </w:p>
    <w:p w:rsidRPr="00483F2B" w:rsidR="00434587" w:rsidP="11884649" w:rsidRDefault="006C3901" w14:paraId="4CB66169" w14:textId="3DDD0691">
      <w:pPr>
        <w:tabs>
          <w:tab w:val="left" w:pos="8100"/>
        </w:tabs>
        <w:rPr>
          <w:sz w:val="20"/>
          <w:szCs w:val="20"/>
        </w:rPr>
      </w:pPr>
      <w:bookmarkStart w:name="_Hlk144323187" w:id="3"/>
      <w:r w:rsidRPr="11884649" w:rsidR="006C3901">
        <w:rPr>
          <w:sz w:val="20"/>
          <w:szCs w:val="20"/>
        </w:rPr>
        <w:t xml:space="preserve">The information blocking (IB) section of the rule that regulates the sharing of </w:t>
      </w:r>
      <w:r w:rsidRPr="11884649" w:rsidR="00763E89">
        <w:rPr>
          <w:sz w:val="20"/>
          <w:szCs w:val="20"/>
        </w:rPr>
        <w:t>electronic health information (</w:t>
      </w:r>
      <w:r w:rsidRPr="11884649" w:rsidR="00186625">
        <w:rPr>
          <w:sz w:val="20"/>
          <w:szCs w:val="20"/>
        </w:rPr>
        <w:t>E</w:t>
      </w:r>
      <w:r w:rsidRPr="11884649" w:rsidR="006C3901">
        <w:rPr>
          <w:sz w:val="20"/>
          <w:szCs w:val="20"/>
        </w:rPr>
        <w:t>HI</w:t>
      </w:r>
      <w:r w:rsidRPr="11884649" w:rsidR="00763E89">
        <w:rPr>
          <w:sz w:val="20"/>
          <w:szCs w:val="20"/>
        </w:rPr>
        <w:t xml:space="preserve">) </w:t>
      </w:r>
      <w:r w:rsidRPr="11884649" w:rsidR="00763E89">
        <w:rPr>
          <w:sz w:val="20"/>
          <w:szCs w:val="20"/>
        </w:rPr>
        <w:t>was applicable</w:t>
      </w:r>
      <w:r w:rsidRPr="11884649" w:rsidR="00763E89">
        <w:rPr>
          <w:sz w:val="20"/>
          <w:szCs w:val="20"/>
        </w:rPr>
        <w:t xml:space="preserve"> to healthcare providers </w:t>
      </w:r>
      <w:r w:rsidRPr="11884649" w:rsidR="006C3901">
        <w:rPr>
          <w:b w:val="1"/>
          <w:bCs w:val="1"/>
          <w:sz w:val="20"/>
          <w:szCs w:val="20"/>
        </w:rPr>
        <w:t xml:space="preserve">beginning </w:t>
      </w:r>
      <w:r w:rsidRPr="11884649" w:rsidR="00434587">
        <w:rPr>
          <w:b w:val="1"/>
          <w:bCs w:val="1"/>
          <w:sz w:val="20"/>
          <w:szCs w:val="20"/>
        </w:rPr>
        <w:t>April 5, 2021</w:t>
      </w:r>
      <w:r w:rsidRPr="11884649" w:rsidR="006C3901">
        <w:rPr>
          <w:sz w:val="20"/>
          <w:szCs w:val="20"/>
        </w:rPr>
        <w:t xml:space="preserve">. </w:t>
      </w:r>
      <w:bookmarkStart w:name="_Hlk144323265" w:id="6"/>
      <w:bookmarkEnd w:id="3"/>
      <w:r w:rsidRPr="11884649" w:rsidR="00763E89">
        <w:rPr>
          <w:sz w:val="20"/>
          <w:szCs w:val="20"/>
        </w:rPr>
        <w:t xml:space="preserve">This includes all healthcare entities and individual provider types and specialties as defined in the Public Services Act (42 U.S.C. 300jj) (i.e., hospital, clinic, FQHC, pharmacy, lab, MD, DO, RN, PA, APNP, pharmacist, dentist, therapist, social worker, </w:t>
      </w:r>
      <w:r w:rsidRPr="11884649" w:rsidR="00763E89">
        <w:rPr>
          <w:sz w:val="20"/>
          <w:szCs w:val="20"/>
        </w:rPr>
        <w:t>etc.</w:t>
      </w:r>
      <w:r w:rsidRPr="11884649" w:rsidR="00763E89">
        <w:rPr>
          <w:sz w:val="20"/>
          <w:szCs w:val="20"/>
        </w:rPr>
        <w:t>).</w:t>
      </w:r>
      <w:bookmarkEnd w:id="6"/>
      <w:r w:rsidRPr="11884649" w:rsidR="00763E89">
        <w:rPr>
          <w:sz w:val="20"/>
          <w:szCs w:val="20"/>
        </w:rPr>
        <w:t xml:space="preserve"> </w:t>
      </w:r>
      <w:bookmarkStart w:name="_Hlk144323289" w:id="7"/>
      <w:r w:rsidRPr="11884649" w:rsidR="006C3901">
        <w:rPr>
          <w:sz w:val="20"/>
          <w:szCs w:val="20"/>
        </w:rPr>
        <w:t xml:space="preserve">The </w:t>
      </w:r>
      <w:r w:rsidRPr="11884649" w:rsidR="00763E89">
        <w:rPr>
          <w:sz w:val="20"/>
          <w:szCs w:val="20"/>
        </w:rPr>
        <w:t xml:space="preserve">exceptions to fulfilling requests for access, exchange, or use of EHI provided in </w:t>
      </w:r>
      <w:r w:rsidRPr="11884649" w:rsidR="009B2C82">
        <w:rPr>
          <w:sz w:val="20"/>
          <w:szCs w:val="20"/>
        </w:rPr>
        <w:t xml:space="preserve">the Cures Act rule </w:t>
      </w:r>
      <w:r w:rsidRPr="11884649" w:rsidR="006C3901">
        <w:rPr>
          <w:sz w:val="20"/>
          <w:szCs w:val="20"/>
        </w:rPr>
        <w:t xml:space="preserve">align with or are in addition to the HIPAA privacy and security rule requirements for the protection of, release of, and right of access to </w:t>
      </w:r>
      <w:r w:rsidRPr="11884649" w:rsidR="00186625">
        <w:rPr>
          <w:sz w:val="20"/>
          <w:szCs w:val="20"/>
        </w:rPr>
        <w:t>protected health information.</w:t>
      </w:r>
      <w:r w:rsidRPr="11884649" w:rsidR="003E04BE">
        <w:rPr>
          <w:sz w:val="20"/>
          <w:szCs w:val="20"/>
        </w:rPr>
        <w:t xml:space="preserve"> </w:t>
      </w:r>
      <w:bookmarkEnd w:id="7"/>
      <w:r w:rsidRPr="11884649" w:rsidR="003E04BE">
        <w:rPr>
          <w:sz w:val="20"/>
          <w:szCs w:val="20"/>
        </w:rPr>
        <w:t>The HHS OIG will start investigating</w:t>
      </w:r>
      <w:r w:rsidRPr="11884649" w:rsidR="009B2C82">
        <w:rPr>
          <w:sz w:val="20"/>
          <w:szCs w:val="20"/>
        </w:rPr>
        <w:t xml:space="preserve"> </w:t>
      </w:r>
      <w:r w:rsidRPr="11884649" w:rsidR="003E04BE">
        <w:rPr>
          <w:sz w:val="20"/>
          <w:szCs w:val="20"/>
        </w:rPr>
        <w:t>claims</w:t>
      </w:r>
      <w:r w:rsidRPr="11884649" w:rsidR="009B2C82">
        <w:rPr>
          <w:sz w:val="20"/>
          <w:szCs w:val="20"/>
        </w:rPr>
        <w:t xml:space="preserve"> of information blocking occurring</w:t>
      </w:r>
      <w:r w:rsidRPr="11884649" w:rsidR="003E04BE">
        <w:rPr>
          <w:sz w:val="20"/>
          <w:szCs w:val="20"/>
        </w:rPr>
        <w:t xml:space="preserve"> </w:t>
      </w:r>
      <w:r w:rsidRPr="11884649" w:rsidR="00697A9F">
        <w:rPr>
          <w:sz w:val="20"/>
          <w:szCs w:val="20"/>
        </w:rPr>
        <w:t xml:space="preserve">beginning </w:t>
      </w:r>
      <w:r w:rsidRPr="11884649" w:rsidR="09132CDE">
        <w:rPr>
          <w:sz w:val="20"/>
          <w:szCs w:val="20"/>
        </w:rPr>
        <w:t>on</w:t>
      </w:r>
      <w:r w:rsidRPr="11884649" w:rsidR="09132CDE">
        <w:rPr>
          <w:sz w:val="20"/>
          <w:szCs w:val="20"/>
        </w:rPr>
        <w:t xml:space="preserve"> September</w:t>
      </w:r>
      <w:r w:rsidRPr="11884649" w:rsidR="003E04BE">
        <w:rPr>
          <w:sz w:val="20"/>
          <w:szCs w:val="20"/>
        </w:rPr>
        <w:t xml:space="preserve"> 1, 2023. Providers are not subject to </w:t>
      </w:r>
      <w:r w:rsidRPr="11884649" w:rsidR="009B2C82">
        <w:rPr>
          <w:sz w:val="20"/>
          <w:szCs w:val="20"/>
        </w:rPr>
        <w:t xml:space="preserve">OIG </w:t>
      </w:r>
      <w:r w:rsidRPr="11884649" w:rsidR="003E04BE">
        <w:rPr>
          <w:sz w:val="20"/>
          <w:szCs w:val="20"/>
        </w:rPr>
        <w:t xml:space="preserve">civil monetary penalties, but HHS will be issuing a proposed rule for public comment before the end of 2023 to </w:t>
      </w:r>
      <w:r w:rsidRPr="11884649" w:rsidR="003E04BE">
        <w:rPr>
          <w:sz w:val="20"/>
          <w:szCs w:val="20"/>
        </w:rPr>
        <w:t>establish</w:t>
      </w:r>
      <w:r w:rsidRPr="11884649" w:rsidR="003E04BE">
        <w:rPr>
          <w:sz w:val="20"/>
          <w:szCs w:val="20"/>
        </w:rPr>
        <w:t xml:space="preserve"> </w:t>
      </w:r>
      <w:r w:rsidRPr="11884649" w:rsidR="003E04BE">
        <w:rPr>
          <w:sz w:val="20"/>
          <w:szCs w:val="20"/>
        </w:rPr>
        <w:t>appropriate disincentives</w:t>
      </w:r>
      <w:r w:rsidRPr="11884649" w:rsidR="003E04BE">
        <w:rPr>
          <w:sz w:val="20"/>
          <w:szCs w:val="20"/>
        </w:rPr>
        <w:t xml:space="preserve"> for providers determined to be information blocking. </w:t>
      </w:r>
      <w:r w:rsidRPr="11884649" w:rsidR="00D51F58">
        <w:rPr>
          <w:sz w:val="20"/>
          <w:szCs w:val="20"/>
        </w:rPr>
        <w:t>The OIG will evaluate IB claims on a case-by-case basis and consider the individual facts and circumstances for level of impact, intent, and knowledge.</w:t>
      </w:r>
    </w:p>
    <w:p w:rsidRPr="00483F2B" w:rsidR="00434587" w:rsidP="00434587" w:rsidRDefault="00434587" w14:paraId="7F7C00BC" w14:textId="5BF79390">
      <w:pPr>
        <w:rPr>
          <w:sz w:val="20"/>
          <w:szCs w:val="20"/>
        </w:rPr>
      </w:pPr>
    </w:p>
    <w:p w:rsidRPr="00483F2B" w:rsidR="00186625" w:rsidP="00434587" w:rsidRDefault="009B2C82" w14:paraId="70D536B8" w14:textId="5D9EA6B1">
      <w:pPr>
        <w:rPr>
          <w:sz w:val="20"/>
          <w:szCs w:val="20"/>
        </w:rPr>
      </w:pPr>
      <w:bookmarkStart w:name="_Hlk144323575" w:id="10"/>
      <w:r w:rsidRPr="11884649" w:rsidR="009B2C82">
        <w:rPr>
          <w:sz w:val="20"/>
          <w:szCs w:val="20"/>
        </w:rPr>
        <w:t xml:space="preserve">The </w:t>
      </w:r>
      <w:r w:rsidRPr="11884649" w:rsidR="00697A9F">
        <w:rPr>
          <w:sz w:val="20"/>
          <w:szCs w:val="20"/>
        </w:rPr>
        <w:t xml:space="preserve">Information </w:t>
      </w:r>
      <w:r w:rsidRPr="11884649" w:rsidR="244D1EAD">
        <w:rPr>
          <w:sz w:val="20"/>
          <w:szCs w:val="20"/>
        </w:rPr>
        <w:t>Blocking section</w:t>
      </w:r>
      <w:r w:rsidRPr="11884649" w:rsidR="009B2C82">
        <w:rPr>
          <w:sz w:val="20"/>
          <w:szCs w:val="20"/>
        </w:rPr>
        <w:t xml:space="preserve"> of the rule applies to a</w:t>
      </w:r>
      <w:r w:rsidRPr="11884649" w:rsidR="00697A9F">
        <w:rPr>
          <w:sz w:val="20"/>
          <w:szCs w:val="20"/>
        </w:rPr>
        <w:t>ny</w:t>
      </w:r>
      <w:r w:rsidRPr="11884649" w:rsidR="008944A5">
        <w:rPr>
          <w:sz w:val="20"/>
          <w:szCs w:val="20"/>
        </w:rPr>
        <w:t xml:space="preserve"> </w:t>
      </w:r>
      <w:r w:rsidRPr="11884649" w:rsidR="6EB7BCBC">
        <w:rPr>
          <w:sz w:val="20"/>
          <w:szCs w:val="20"/>
        </w:rPr>
        <w:t>Patient's health</w:t>
      </w:r>
      <w:r w:rsidRPr="11884649" w:rsidR="00186625">
        <w:rPr>
          <w:sz w:val="20"/>
          <w:szCs w:val="20"/>
        </w:rPr>
        <w:t xml:space="preserve"> records</w:t>
      </w:r>
      <w:r w:rsidRPr="11884649" w:rsidR="008F01B4">
        <w:rPr>
          <w:sz w:val="20"/>
          <w:szCs w:val="20"/>
        </w:rPr>
        <w:t xml:space="preserve"> </w:t>
      </w:r>
      <w:r w:rsidRPr="11884649" w:rsidR="008F01B4">
        <w:rPr>
          <w:sz w:val="20"/>
          <w:szCs w:val="20"/>
        </w:rPr>
        <w:t>maintained</w:t>
      </w:r>
      <w:r w:rsidRPr="11884649" w:rsidR="008F01B4">
        <w:rPr>
          <w:sz w:val="20"/>
          <w:szCs w:val="20"/>
        </w:rPr>
        <w:t xml:space="preserve"> electronically </w:t>
      </w:r>
      <w:r w:rsidRPr="11884649" w:rsidR="00697A9F">
        <w:rPr>
          <w:sz w:val="20"/>
          <w:szCs w:val="20"/>
        </w:rPr>
        <w:t xml:space="preserve">made </w:t>
      </w:r>
      <w:r w:rsidRPr="11884649" w:rsidR="00186625">
        <w:rPr>
          <w:sz w:val="20"/>
          <w:szCs w:val="20"/>
        </w:rPr>
        <w:t xml:space="preserve">by or for </w:t>
      </w:r>
      <w:r w:rsidRPr="11884649" w:rsidR="00BA5E11">
        <w:rPr>
          <w:sz w:val="20"/>
          <w:szCs w:val="20"/>
        </w:rPr>
        <w:t>your organization</w:t>
      </w:r>
      <w:r w:rsidRPr="11884649" w:rsidR="009B2C82">
        <w:rPr>
          <w:sz w:val="20"/>
          <w:szCs w:val="20"/>
        </w:rPr>
        <w:t>.</w:t>
      </w:r>
      <w:r w:rsidRPr="11884649" w:rsidR="00BA5E11">
        <w:rPr>
          <w:sz w:val="20"/>
          <w:szCs w:val="20"/>
        </w:rPr>
        <w:t xml:space="preserve"> This includes</w:t>
      </w:r>
      <w:r w:rsidRPr="11884649" w:rsidR="00186625">
        <w:rPr>
          <w:sz w:val="20"/>
          <w:szCs w:val="20"/>
        </w:rPr>
        <w:t xml:space="preserve"> medical </w:t>
      </w:r>
      <w:r w:rsidRPr="11884649" w:rsidR="00BA5E11">
        <w:rPr>
          <w:sz w:val="20"/>
          <w:szCs w:val="20"/>
        </w:rPr>
        <w:t xml:space="preserve">and billing </w:t>
      </w:r>
      <w:r w:rsidRPr="11884649" w:rsidR="00186625">
        <w:rPr>
          <w:sz w:val="20"/>
          <w:szCs w:val="20"/>
        </w:rPr>
        <w:t>records</w:t>
      </w:r>
      <w:r w:rsidRPr="11884649" w:rsidR="00BA5E11">
        <w:rPr>
          <w:sz w:val="20"/>
          <w:szCs w:val="20"/>
        </w:rPr>
        <w:t xml:space="preserve"> </w:t>
      </w:r>
      <w:r w:rsidRPr="11884649" w:rsidR="00186625">
        <w:rPr>
          <w:sz w:val="20"/>
          <w:szCs w:val="20"/>
        </w:rPr>
        <w:t xml:space="preserve">and </w:t>
      </w:r>
      <w:r w:rsidRPr="11884649" w:rsidR="00BA5E11">
        <w:rPr>
          <w:sz w:val="20"/>
          <w:szCs w:val="20"/>
        </w:rPr>
        <w:t xml:space="preserve">other records </w:t>
      </w:r>
      <w:r w:rsidRPr="11884649" w:rsidR="00186625">
        <w:rPr>
          <w:sz w:val="20"/>
          <w:szCs w:val="20"/>
        </w:rPr>
        <w:t xml:space="preserve">used in whole or in part to make decisions about individuals </w:t>
      </w:r>
      <w:r w:rsidRPr="11884649" w:rsidR="00BA5E11">
        <w:rPr>
          <w:sz w:val="20"/>
          <w:szCs w:val="20"/>
        </w:rPr>
        <w:t>to the extent the records would be included in</w:t>
      </w:r>
      <w:r w:rsidRPr="11884649" w:rsidR="003451EF">
        <w:rPr>
          <w:sz w:val="20"/>
          <w:szCs w:val="20"/>
        </w:rPr>
        <w:t xml:space="preserve"> your organization’s</w:t>
      </w:r>
      <w:r w:rsidRPr="11884649" w:rsidR="00BA5E11">
        <w:rPr>
          <w:sz w:val="20"/>
          <w:szCs w:val="20"/>
        </w:rPr>
        <w:t xml:space="preserve"> </w:t>
      </w:r>
      <w:r w:rsidRPr="11884649" w:rsidR="00FC337A">
        <w:rPr>
          <w:sz w:val="20"/>
          <w:szCs w:val="20"/>
        </w:rPr>
        <w:t>D</w:t>
      </w:r>
      <w:r w:rsidRPr="11884649" w:rsidR="00BA5E11">
        <w:rPr>
          <w:sz w:val="20"/>
          <w:szCs w:val="20"/>
        </w:rPr>
        <w:t xml:space="preserve">esignated </w:t>
      </w:r>
      <w:r w:rsidRPr="11884649" w:rsidR="00FC337A">
        <w:rPr>
          <w:sz w:val="20"/>
          <w:szCs w:val="20"/>
        </w:rPr>
        <w:t>R</w:t>
      </w:r>
      <w:r w:rsidRPr="11884649" w:rsidR="00BA5E11">
        <w:rPr>
          <w:sz w:val="20"/>
          <w:szCs w:val="20"/>
        </w:rPr>
        <w:t xml:space="preserve">ecord </w:t>
      </w:r>
      <w:r w:rsidRPr="11884649" w:rsidR="00FC337A">
        <w:rPr>
          <w:sz w:val="20"/>
          <w:szCs w:val="20"/>
        </w:rPr>
        <w:t>S</w:t>
      </w:r>
      <w:r w:rsidRPr="11884649" w:rsidR="00BA5E11">
        <w:rPr>
          <w:sz w:val="20"/>
          <w:szCs w:val="20"/>
        </w:rPr>
        <w:t>et</w:t>
      </w:r>
      <w:r w:rsidRPr="11884649" w:rsidR="00FC337A">
        <w:rPr>
          <w:sz w:val="20"/>
          <w:szCs w:val="20"/>
        </w:rPr>
        <w:t xml:space="preserve"> (DRS)</w:t>
      </w:r>
      <w:r w:rsidRPr="11884649" w:rsidR="00BA5E11">
        <w:rPr>
          <w:sz w:val="20"/>
          <w:szCs w:val="20"/>
        </w:rPr>
        <w:t xml:space="preserve"> as defined in HIPAA, regardless </w:t>
      </w:r>
      <w:r w:rsidRPr="11884649" w:rsidR="003E04BE">
        <w:rPr>
          <w:sz w:val="20"/>
          <w:szCs w:val="20"/>
        </w:rPr>
        <w:t xml:space="preserve">of </w:t>
      </w:r>
      <w:r w:rsidRPr="11884649" w:rsidR="00BA5E11">
        <w:rPr>
          <w:sz w:val="20"/>
          <w:szCs w:val="20"/>
        </w:rPr>
        <w:t>whether your organization meets the definition of a covered entity</w:t>
      </w:r>
      <w:r w:rsidRPr="11884649" w:rsidR="008F01B4">
        <w:rPr>
          <w:sz w:val="20"/>
          <w:szCs w:val="20"/>
        </w:rPr>
        <w:t xml:space="preserve"> or whether the electronic data is maintained using certified health technology</w:t>
      </w:r>
      <w:r w:rsidRPr="11884649" w:rsidR="00483F2B">
        <w:rPr>
          <w:sz w:val="20"/>
          <w:szCs w:val="20"/>
        </w:rPr>
        <w:t>.</w:t>
      </w:r>
      <w:r w:rsidRPr="11884649" w:rsidR="00BA5E11">
        <w:rPr>
          <w:sz w:val="20"/>
          <w:szCs w:val="20"/>
        </w:rPr>
        <w:t xml:space="preserve"> </w:t>
      </w:r>
      <w:bookmarkStart w:name="_Hlk144323680" w:id="19"/>
      <w:bookmarkEnd w:id="10"/>
      <w:r w:rsidRPr="11884649" w:rsidR="00BA5E11">
        <w:rPr>
          <w:sz w:val="20"/>
          <w:szCs w:val="20"/>
        </w:rPr>
        <w:t xml:space="preserve">The following health information </w:t>
      </w:r>
      <w:r w:rsidRPr="11884649" w:rsidR="00BA5E11">
        <w:rPr>
          <w:sz w:val="20"/>
          <w:szCs w:val="20"/>
        </w:rPr>
        <w:t>is excluded</w:t>
      </w:r>
      <w:r w:rsidRPr="11884649" w:rsidR="00BA5E11">
        <w:rPr>
          <w:sz w:val="20"/>
          <w:szCs w:val="20"/>
        </w:rPr>
        <w:t xml:space="preserve"> from the definition of EHI</w:t>
      </w:r>
      <w:r w:rsidRPr="11884649" w:rsidR="003451EF">
        <w:rPr>
          <w:sz w:val="20"/>
          <w:szCs w:val="20"/>
        </w:rPr>
        <w:t xml:space="preserve"> in the IB provisions</w:t>
      </w:r>
      <w:r w:rsidRPr="11884649" w:rsidR="00BA5E11">
        <w:rPr>
          <w:sz w:val="20"/>
          <w:szCs w:val="20"/>
        </w:rPr>
        <w:t>: psychotherapy notes</w:t>
      </w:r>
      <w:r w:rsidRPr="11884649" w:rsidR="003451EF">
        <w:rPr>
          <w:sz w:val="20"/>
          <w:szCs w:val="20"/>
        </w:rPr>
        <w:t xml:space="preserve"> as defined in HIPAA</w:t>
      </w:r>
      <w:r w:rsidRPr="11884649" w:rsidR="00BA5E11">
        <w:rPr>
          <w:sz w:val="20"/>
          <w:szCs w:val="20"/>
        </w:rPr>
        <w:t>, information compiled for a civil, criminal, or administrative action/proceeding</w:t>
      </w:r>
      <w:r w:rsidRPr="11884649" w:rsidR="009B2C82">
        <w:rPr>
          <w:sz w:val="20"/>
          <w:szCs w:val="20"/>
        </w:rPr>
        <w:t>,</w:t>
      </w:r>
      <w:r w:rsidRPr="11884649" w:rsidR="00BA5E11">
        <w:rPr>
          <w:sz w:val="20"/>
          <w:szCs w:val="20"/>
        </w:rPr>
        <w:t xml:space="preserve"> and electronic protected health information deidentified consistent with HIPAA.</w:t>
      </w:r>
      <w:bookmarkEnd w:id="19"/>
    </w:p>
    <w:p w:rsidRPr="00483F2B" w:rsidR="00BA5E11" w:rsidP="00434587" w:rsidRDefault="00BA5E11" w14:paraId="12B30EFC" w14:textId="77777777">
      <w:pPr>
        <w:rPr>
          <w:sz w:val="20"/>
          <w:szCs w:val="20"/>
        </w:rPr>
      </w:pPr>
    </w:p>
    <w:p w:rsidRPr="00483F2B" w:rsidR="00BA5E11" w:rsidP="00434587" w:rsidRDefault="00D474FC" w14:paraId="4D8B5EBF" w14:textId="433ED51D">
      <w:pPr>
        <w:rPr>
          <w:sz w:val="20"/>
          <w:szCs w:val="20"/>
        </w:rPr>
      </w:pPr>
      <w:bookmarkStart w:name="_Hlk144323717" w:id="20"/>
      <w:r w:rsidRPr="00483F2B">
        <w:rPr>
          <w:sz w:val="20"/>
          <w:szCs w:val="20"/>
        </w:rPr>
        <w:t>You may be information blocking if you or your organization operationalizes</w:t>
      </w:r>
      <w:r w:rsidRPr="00483F2B" w:rsidR="003451EF">
        <w:rPr>
          <w:sz w:val="20"/>
          <w:szCs w:val="20"/>
        </w:rPr>
        <w:t xml:space="preserve"> a</w:t>
      </w:r>
      <w:r w:rsidRPr="00483F2B" w:rsidR="004158E4">
        <w:rPr>
          <w:sz w:val="20"/>
          <w:szCs w:val="20"/>
        </w:rPr>
        <w:t>ny policies, processes, procedures</w:t>
      </w:r>
      <w:r w:rsidRPr="00483F2B" w:rsidR="003451EF">
        <w:rPr>
          <w:sz w:val="20"/>
          <w:szCs w:val="20"/>
        </w:rPr>
        <w:t>, or workflows</w:t>
      </w:r>
      <w:r w:rsidRPr="00483F2B" w:rsidR="004158E4">
        <w:rPr>
          <w:sz w:val="20"/>
          <w:szCs w:val="20"/>
        </w:rPr>
        <w:t xml:space="preserve"> (i.e., practices) </w:t>
      </w:r>
      <w:r w:rsidRPr="00483F2B" w:rsidR="003451EF">
        <w:rPr>
          <w:sz w:val="20"/>
          <w:szCs w:val="20"/>
        </w:rPr>
        <w:t xml:space="preserve">that </w:t>
      </w:r>
      <w:r w:rsidRPr="00483F2B">
        <w:rPr>
          <w:sz w:val="20"/>
          <w:szCs w:val="20"/>
        </w:rPr>
        <w:t xml:space="preserve">you or your organization </w:t>
      </w:r>
      <w:r w:rsidRPr="00483F2B">
        <w:rPr>
          <w:sz w:val="20"/>
          <w:szCs w:val="20"/>
          <w:u w:val="single"/>
        </w:rPr>
        <w:t>know</w:t>
      </w:r>
      <w:r w:rsidRPr="00483F2B">
        <w:rPr>
          <w:sz w:val="20"/>
          <w:szCs w:val="20"/>
        </w:rPr>
        <w:t xml:space="preserve"> (i.e., have requisite knowledge) </w:t>
      </w:r>
      <w:r w:rsidRPr="00483F2B" w:rsidR="003451EF">
        <w:rPr>
          <w:sz w:val="20"/>
          <w:szCs w:val="20"/>
        </w:rPr>
        <w:t>are</w:t>
      </w:r>
      <w:r w:rsidRPr="00483F2B">
        <w:rPr>
          <w:sz w:val="20"/>
          <w:szCs w:val="20"/>
        </w:rPr>
        <w:t xml:space="preserve"> unreasonable and </w:t>
      </w:r>
      <w:r w:rsidRPr="00483F2B" w:rsidR="004158E4">
        <w:rPr>
          <w:sz w:val="20"/>
          <w:szCs w:val="20"/>
        </w:rPr>
        <w:t xml:space="preserve">likely to interfere with the legally permissible access, exchange, or use of EHI </w:t>
      </w:r>
      <w:r w:rsidRPr="00483F2B">
        <w:rPr>
          <w:sz w:val="20"/>
          <w:szCs w:val="20"/>
        </w:rPr>
        <w:t xml:space="preserve">and cannot meet the conditions of </w:t>
      </w:r>
      <w:r w:rsidRPr="00483F2B" w:rsidR="004158E4">
        <w:rPr>
          <w:sz w:val="20"/>
          <w:szCs w:val="20"/>
        </w:rPr>
        <w:t xml:space="preserve">an </w:t>
      </w:r>
      <w:r w:rsidRPr="00483F2B" w:rsidR="003E04BE">
        <w:rPr>
          <w:sz w:val="20"/>
          <w:szCs w:val="20"/>
        </w:rPr>
        <w:t xml:space="preserve">allowable </w:t>
      </w:r>
      <w:r w:rsidRPr="00483F2B" w:rsidR="004158E4">
        <w:rPr>
          <w:sz w:val="20"/>
          <w:szCs w:val="20"/>
        </w:rPr>
        <w:t>IB exception</w:t>
      </w:r>
      <w:r w:rsidRPr="00483F2B">
        <w:rPr>
          <w:sz w:val="20"/>
          <w:szCs w:val="20"/>
        </w:rPr>
        <w:t>.</w:t>
      </w:r>
      <w:r w:rsidRPr="00483F2B" w:rsidR="008A61D1">
        <w:rPr>
          <w:sz w:val="20"/>
          <w:szCs w:val="20"/>
        </w:rPr>
        <w:t xml:space="preserve"> </w:t>
      </w:r>
      <w:r w:rsidRPr="00483F2B" w:rsidR="003451EF">
        <w:rPr>
          <w:sz w:val="20"/>
          <w:szCs w:val="20"/>
        </w:rPr>
        <w:t xml:space="preserve"> </w:t>
      </w:r>
    </w:p>
    <w:bookmarkEnd w:id="20"/>
    <w:p w:rsidRPr="00483F2B" w:rsidR="00294B87" w:rsidP="0057502A" w:rsidRDefault="00294B87" w14:paraId="45094DCB" w14:textId="77777777">
      <w:pPr>
        <w:rPr>
          <w:sz w:val="20"/>
          <w:szCs w:val="20"/>
        </w:rPr>
      </w:pPr>
    </w:p>
    <w:p w:rsidRPr="00483F2B" w:rsidR="005D2525" w:rsidP="0057502A" w:rsidRDefault="00444BC8" w14:paraId="41B8F9F3" w14:textId="38E3C84E">
      <w:pPr>
        <w:rPr>
          <w:sz w:val="20"/>
          <w:szCs w:val="20"/>
        </w:rPr>
      </w:pPr>
      <w:r w:rsidRPr="00483F2B">
        <w:rPr>
          <w:sz w:val="20"/>
          <w:szCs w:val="20"/>
        </w:rPr>
        <w:t xml:space="preserve">You can </w:t>
      </w:r>
      <w:r w:rsidRPr="00483F2B" w:rsidR="002C4C9A">
        <w:rPr>
          <w:sz w:val="20"/>
          <w:szCs w:val="20"/>
        </w:rPr>
        <w:t xml:space="preserve">deny </w:t>
      </w:r>
      <w:r w:rsidRPr="00483F2B" w:rsidR="00294B87">
        <w:rPr>
          <w:sz w:val="20"/>
          <w:szCs w:val="20"/>
        </w:rPr>
        <w:t xml:space="preserve">a request for access, exchange, or use of </w:t>
      </w:r>
      <w:r w:rsidRPr="00483F2B" w:rsidR="0065116F">
        <w:rPr>
          <w:sz w:val="20"/>
          <w:szCs w:val="20"/>
        </w:rPr>
        <w:t>EHI,</w:t>
      </w:r>
      <w:r w:rsidRPr="00483F2B">
        <w:rPr>
          <w:sz w:val="20"/>
          <w:szCs w:val="20"/>
        </w:rPr>
        <w:t xml:space="preserve"> and</w:t>
      </w:r>
      <w:r w:rsidRPr="00483F2B" w:rsidR="002C4C9A">
        <w:rPr>
          <w:sz w:val="20"/>
          <w:szCs w:val="20"/>
        </w:rPr>
        <w:t xml:space="preserve"> this</w:t>
      </w:r>
      <w:r w:rsidRPr="00483F2B" w:rsidR="00294B87">
        <w:rPr>
          <w:sz w:val="20"/>
          <w:szCs w:val="20"/>
        </w:rPr>
        <w:t xml:space="preserve"> will not be treated as information blocking if you satisf</w:t>
      </w:r>
      <w:r w:rsidRPr="00483F2B" w:rsidR="002C4C9A">
        <w:rPr>
          <w:sz w:val="20"/>
          <w:szCs w:val="20"/>
        </w:rPr>
        <w:t>y</w:t>
      </w:r>
      <w:r w:rsidRPr="00483F2B" w:rsidR="00294B87">
        <w:rPr>
          <w:sz w:val="20"/>
          <w:szCs w:val="20"/>
        </w:rPr>
        <w:t xml:space="preserve"> one or more of the IB exceptions provided in the rule </w:t>
      </w:r>
      <w:r w:rsidRPr="00483F2B" w:rsidR="002C4C9A">
        <w:rPr>
          <w:sz w:val="20"/>
          <w:szCs w:val="20"/>
        </w:rPr>
        <w:t>by m</w:t>
      </w:r>
      <w:r w:rsidRPr="00483F2B" w:rsidR="00294B87">
        <w:rPr>
          <w:sz w:val="20"/>
          <w:szCs w:val="20"/>
        </w:rPr>
        <w:t>eet</w:t>
      </w:r>
      <w:r w:rsidRPr="00483F2B" w:rsidR="002C4C9A">
        <w:rPr>
          <w:sz w:val="20"/>
          <w:szCs w:val="20"/>
        </w:rPr>
        <w:t>ing</w:t>
      </w:r>
      <w:r w:rsidRPr="00483F2B" w:rsidR="00294B87">
        <w:rPr>
          <w:sz w:val="20"/>
          <w:szCs w:val="20"/>
        </w:rPr>
        <w:t xml:space="preserve"> all applicable requirements and conditions of the exception at all relevant times</w:t>
      </w:r>
      <w:proofErr w:type="gramStart"/>
      <w:r w:rsidRPr="00483F2B" w:rsidR="00294B87">
        <w:rPr>
          <w:sz w:val="20"/>
          <w:szCs w:val="20"/>
        </w:rPr>
        <w:t xml:space="preserve">.  </w:t>
      </w:r>
      <w:proofErr w:type="gramEnd"/>
      <w:r w:rsidRPr="00483F2B" w:rsidR="00294B87">
        <w:rPr>
          <w:sz w:val="20"/>
          <w:szCs w:val="20"/>
        </w:rPr>
        <w:t>There are eight IB</w:t>
      </w:r>
      <w:r w:rsidRPr="00483F2B" w:rsidR="002C4C9A">
        <w:rPr>
          <w:sz w:val="20"/>
          <w:szCs w:val="20"/>
        </w:rPr>
        <w:t xml:space="preserve"> exceptions</w:t>
      </w:r>
      <w:r w:rsidRPr="00483F2B" w:rsidR="004158E4">
        <w:rPr>
          <w:sz w:val="20"/>
          <w:szCs w:val="20"/>
        </w:rPr>
        <w:t>:</w:t>
      </w:r>
    </w:p>
    <w:p w:rsidRPr="00483F2B" w:rsidR="005D2525" w:rsidP="00241D69" w:rsidRDefault="00241D69" w14:paraId="436701E3" w14:textId="512F18AF">
      <w:pPr>
        <w:rPr>
          <w:sz w:val="20"/>
          <w:szCs w:val="20"/>
        </w:rPr>
      </w:pPr>
      <w:r w:rsidRPr="00483F2B">
        <w:rPr>
          <w:sz w:val="20"/>
          <w:szCs w:val="20"/>
        </w:rPr>
        <w:t xml:space="preserve">1. </w:t>
      </w:r>
      <w:hyperlink w:history="1" r:id="rId7">
        <w:r w:rsidRPr="00483F2B" w:rsidR="005D2525">
          <w:rPr>
            <w:rStyle w:val="Hyperlink"/>
            <w:sz w:val="20"/>
            <w:szCs w:val="20"/>
          </w:rPr>
          <w:t>P</w:t>
        </w:r>
        <w:r w:rsidRPr="00483F2B" w:rsidR="004158E4">
          <w:rPr>
            <w:rStyle w:val="Hyperlink"/>
            <w:sz w:val="20"/>
            <w:szCs w:val="20"/>
          </w:rPr>
          <w:t>reventing harm</w:t>
        </w:r>
      </w:hyperlink>
      <w:r w:rsidRPr="00483F2B">
        <w:rPr>
          <w:sz w:val="20"/>
          <w:szCs w:val="20"/>
        </w:rPr>
        <w:t>,</w:t>
      </w:r>
      <w:r w:rsidRPr="00483F2B" w:rsidR="004158E4">
        <w:rPr>
          <w:sz w:val="20"/>
          <w:szCs w:val="20"/>
        </w:rPr>
        <w:t>*</w:t>
      </w:r>
      <w:r w:rsidRPr="00483F2B">
        <w:rPr>
          <w:sz w:val="20"/>
          <w:szCs w:val="20"/>
        </w:rPr>
        <w:t xml:space="preserve"> 2. </w:t>
      </w:r>
      <w:hyperlink w:history="1" r:id="rId8">
        <w:r w:rsidRPr="00483F2B" w:rsidR="005D2525">
          <w:rPr>
            <w:rStyle w:val="Hyperlink"/>
            <w:sz w:val="20"/>
            <w:szCs w:val="20"/>
          </w:rPr>
          <w:t>P</w:t>
        </w:r>
        <w:r w:rsidRPr="00483F2B" w:rsidR="004158E4">
          <w:rPr>
            <w:rStyle w:val="Hyperlink"/>
            <w:sz w:val="20"/>
            <w:szCs w:val="20"/>
          </w:rPr>
          <w:t>rivacy</w:t>
        </w:r>
      </w:hyperlink>
      <w:r w:rsidRPr="00483F2B">
        <w:rPr>
          <w:sz w:val="20"/>
          <w:szCs w:val="20"/>
        </w:rPr>
        <w:t>,</w:t>
      </w:r>
      <w:r w:rsidRPr="00483F2B" w:rsidR="004158E4">
        <w:rPr>
          <w:sz w:val="20"/>
          <w:szCs w:val="20"/>
        </w:rPr>
        <w:t>*</w:t>
      </w:r>
      <w:r w:rsidRPr="00483F2B">
        <w:rPr>
          <w:sz w:val="20"/>
          <w:szCs w:val="20"/>
        </w:rPr>
        <w:t xml:space="preserve"> </w:t>
      </w:r>
      <w:proofErr w:type="gramStart"/>
      <w:r w:rsidRPr="00483F2B">
        <w:rPr>
          <w:sz w:val="20"/>
          <w:szCs w:val="20"/>
        </w:rPr>
        <w:t>3</w:t>
      </w:r>
      <w:proofErr w:type="gramEnd"/>
      <w:r w:rsidRPr="00483F2B">
        <w:rPr>
          <w:sz w:val="20"/>
          <w:szCs w:val="20"/>
        </w:rPr>
        <w:t xml:space="preserve">. </w:t>
      </w:r>
      <w:hyperlink w:history="1" r:id="rId9">
        <w:r w:rsidRPr="00483F2B" w:rsidR="005D2525">
          <w:rPr>
            <w:rStyle w:val="Hyperlink"/>
            <w:sz w:val="20"/>
            <w:szCs w:val="20"/>
          </w:rPr>
          <w:t>S</w:t>
        </w:r>
        <w:r w:rsidRPr="00483F2B" w:rsidR="004158E4">
          <w:rPr>
            <w:rStyle w:val="Hyperlink"/>
            <w:sz w:val="20"/>
            <w:szCs w:val="20"/>
          </w:rPr>
          <w:t>ecurity</w:t>
        </w:r>
      </w:hyperlink>
      <w:r w:rsidRPr="00483F2B">
        <w:rPr>
          <w:sz w:val="20"/>
          <w:szCs w:val="20"/>
        </w:rPr>
        <w:t xml:space="preserve">,  4. </w:t>
      </w:r>
      <w:hyperlink w:history="1" r:id="rId10">
        <w:r w:rsidRPr="00483F2B" w:rsidR="005D2525">
          <w:rPr>
            <w:rStyle w:val="Hyperlink"/>
            <w:sz w:val="20"/>
            <w:szCs w:val="20"/>
          </w:rPr>
          <w:t>Infeasibility</w:t>
        </w:r>
      </w:hyperlink>
      <w:r w:rsidRPr="00483F2B">
        <w:rPr>
          <w:sz w:val="20"/>
          <w:szCs w:val="20"/>
        </w:rPr>
        <w:t>,</w:t>
      </w:r>
      <w:r w:rsidRPr="00483F2B" w:rsidR="005D2525">
        <w:rPr>
          <w:sz w:val="20"/>
          <w:szCs w:val="20"/>
        </w:rPr>
        <w:t>*</w:t>
      </w:r>
      <w:r w:rsidRPr="00483F2B">
        <w:rPr>
          <w:sz w:val="20"/>
          <w:szCs w:val="20"/>
        </w:rPr>
        <w:t xml:space="preserve"> 5. </w:t>
      </w:r>
      <w:hyperlink w:history="1" r:id="rId11">
        <w:r w:rsidRPr="00483F2B" w:rsidR="005D2525">
          <w:rPr>
            <w:rStyle w:val="Hyperlink"/>
            <w:sz w:val="20"/>
            <w:szCs w:val="20"/>
          </w:rPr>
          <w:t>H</w:t>
        </w:r>
        <w:r w:rsidRPr="00483F2B" w:rsidR="004158E4">
          <w:rPr>
            <w:rStyle w:val="Hyperlink"/>
            <w:sz w:val="20"/>
            <w:szCs w:val="20"/>
          </w:rPr>
          <w:t>ealth IT performance</w:t>
        </w:r>
      </w:hyperlink>
      <w:r w:rsidRPr="00483F2B">
        <w:rPr>
          <w:sz w:val="20"/>
          <w:szCs w:val="20"/>
        </w:rPr>
        <w:t xml:space="preserve">,  6. </w:t>
      </w:r>
      <w:hyperlink w:history="1" r:id="rId12">
        <w:r w:rsidRPr="00483F2B" w:rsidR="005D2525">
          <w:rPr>
            <w:rStyle w:val="Hyperlink"/>
            <w:sz w:val="20"/>
            <w:szCs w:val="20"/>
          </w:rPr>
          <w:t>C</w:t>
        </w:r>
        <w:r w:rsidRPr="00483F2B" w:rsidR="004158E4">
          <w:rPr>
            <w:rStyle w:val="Hyperlink"/>
            <w:sz w:val="20"/>
            <w:szCs w:val="20"/>
          </w:rPr>
          <w:t>ontent and manner</w:t>
        </w:r>
      </w:hyperlink>
      <w:r w:rsidRPr="00483F2B">
        <w:rPr>
          <w:sz w:val="20"/>
          <w:szCs w:val="20"/>
        </w:rPr>
        <w:t>,</w:t>
      </w:r>
      <w:r w:rsidRPr="00483F2B" w:rsidR="004158E4">
        <w:rPr>
          <w:sz w:val="20"/>
          <w:szCs w:val="20"/>
        </w:rPr>
        <w:t>*</w:t>
      </w:r>
      <w:r w:rsidRPr="00483F2B">
        <w:rPr>
          <w:sz w:val="20"/>
          <w:szCs w:val="20"/>
        </w:rPr>
        <w:t xml:space="preserve"> </w:t>
      </w:r>
      <w:r w:rsidRPr="00483F2B" w:rsidR="000854EC">
        <w:rPr>
          <w:sz w:val="20"/>
          <w:szCs w:val="20"/>
        </w:rPr>
        <w:br/>
      </w:r>
      <w:r w:rsidRPr="00483F2B">
        <w:rPr>
          <w:sz w:val="20"/>
          <w:szCs w:val="20"/>
        </w:rPr>
        <w:t xml:space="preserve">7. </w:t>
      </w:r>
      <w:hyperlink w:history="1" r:id="rId13">
        <w:r w:rsidRPr="00483F2B" w:rsidR="005D2525">
          <w:rPr>
            <w:rStyle w:val="Hyperlink"/>
            <w:sz w:val="20"/>
            <w:szCs w:val="20"/>
          </w:rPr>
          <w:t>F</w:t>
        </w:r>
        <w:r w:rsidRPr="00483F2B" w:rsidR="004158E4">
          <w:rPr>
            <w:rStyle w:val="Hyperlink"/>
            <w:sz w:val="20"/>
            <w:szCs w:val="20"/>
          </w:rPr>
          <w:t>ees</w:t>
        </w:r>
      </w:hyperlink>
      <w:r w:rsidRPr="00483F2B">
        <w:rPr>
          <w:sz w:val="20"/>
          <w:szCs w:val="20"/>
        </w:rPr>
        <w:t xml:space="preserve">,*  and 8. </w:t>
      </w:r>
      <w:hyperlink w:history="1" r:id="rId14">
        <w:r w:rsidRPr="00483F2B" w:rsidR="005D2525">
          <w:rPr>
            <w:rStyle w:val="Hyperlink"/>
            <w:sz w:val="20"/>
            <w:szCs w:val="20"/>
          </w:rPr>
          <w:t>L</w:t>
        </w:r>
        <w:r w:rsidRPr="00483F2B" w:rsidR="004158E4">
          <w:rPr>
            <w:rStyle w:val="Hyperlink"/>
            <w:sz w:val="20"/>
            <w:szCs w:val="20"/>
          </w:rPr>
          <w:t>icensing</w:t>
        </w:r>
      </w:hyperlink>
      <w:r w:rsidRPr="00483F2B">
        <w:rPr>
          <w:sz w:val="20"/>
          <w:szCs w:val="20"/>
        </w:rPr>
        <w:t>.</w:t>
      </w:r>
    </w:p>
    <w:p w:rsidRPr="00483F2B" w:rsidR="005D2525" w:rsidP="005D2525" w:rsidRDefault="005D2525" w14:paraId="25E3DA31" w14:textId="77777777">
      <w:pPr>
        <w:pStyle w:val="ListParagraph"/>
        <w:rPr>
          <w:sz w:val="20"/>
          <w:szCs w:val="20"/>
        </w:rPr>
      </w:pPr>
    </w:p>
    <w:p w:rsidRPr="00483F2B" w:rsidR="00444BC8" w:rsidP="00241D69" w:rsidRDefault="002C18EA" w14:paraId="442AB150" w14:textId="4C2A8238">
      <w:pPr>
        <w:rPr>
          <w:sz w:val="20"/>
          <w:szCs w:val="20"/>
        </w:rPr>
      </w:pPr>
      <w:r w:rsidRPr="7D7EAD91" w:rsidR="002C18EA">
        <w:rPr>
          <w:sz w:val="20"/>
          <w:szCs w:val="20"/>
        </w:rPr>
        <w:t xml:space="preserve">The regulatory details of each exception are available by clicking on the exception. </w:t>
      </w:r>
      <w:r w:rsidRPr="7D7EAD91" w:rsidR="7C5BFED0">
        <w:rPr>
          <w:sz w:val="20"/>
          <w:szCs w:val="20"/>
        </w:rPr>
        <w:t>The asterisked exceptions are most relevant to the practices of individual providers or clinical staff and important for providers and the clinical staff to understand.</w:t>
      </w:r>
      <w:r w:rsidRPr="7D7EAD91" w:rsidR="004158E4">
        <w:rPr>
          <w:sz w:val="20"/>
          <w:szCs w:val="20"/>
        </w:rPr>
        <w:t xml:space="preserve"> </w:t>
      </w:r>
      <w:r w:rsidRPr="7D7EAD91" w:rsidR="002C4C9A">
        <w:rPr>
          <w:sz w:val="20"/>
          <w:szCs w:val="20"/>
        </w:rPr>
        <w:t xml:space="preserve"> </w:t>
      </w:r>
    </w:p>
    <w:p w:rsidRPr="00483F2B" w:rsidR="000854EC" w:rsidP="0057502A" w:rsidRDefault="000854EC" w14:paraId="3195BEE0" w14:textId="77777777">
      <w:pPr>
        <w:rPr>
          <w:sz w:val="20"/>
          <w:szCs w:val="20"/>
        </w:rPr>
      </w:pPr>
    </w:p>
    <w:p w:rsidRPr="00483F2B" w:rsidR="004129B0" w:rsidP="0057502A" w:rsidRDefault="004129B0" w14:paraId="165A12B3" w14:textId="6F70AA42">
      <w:pPr>
        <w:rPr>
          <w:sz w:val="20"/>
          <w:szCs w:val="20"/>
        </w:rPr>
      </w:pPr>
      <w:r w:rsidRPr="00483F2B">
        <w:rPr>
          <w:sz w:val="20"/>
          <w:szCs w:val="20"/>
        </w:rPr>
        <w:t>If your patient requests electronic access to their EHI, you must provide it in the electronic form (“manner requested”) and format requested if technically able to do so. You can offer to provide it in one of the alternate manners p</w:t>
      </w:r>
      <w:r w:rsidR="00383677">
        <w:rPr>
          <w:sz w:val="20"/>
          <w:szCs w:val="20"/>
        </w:rPr>
        <w:t>ermitted</w:t>
      </w:r>
      <w:r w:rsidRPr="00483F2B">
        <w:rPr>
          <w:sz w:val="20"/>
          <w:szCs w:val="20"/>
        </w:rPr>
        <w:t xml:space="preserve"> in the IB Content and Manner exception if technically able and the patient agrees. Both the Cures Act and HIPAA rules apply to </w:t>
      </w:r>
      <w:r w:rsidRPr="00483F2B" w:rsidR="000854EC">
        <w:rPr>
          <w:sz w:val="20"/>
          <w:szCs w:val="20"/>
        </w:rPr>
        <w:t xml:space="preserve">the </w:t>
      </w:r>
      <w:r w:rsidRPr="00483F2B">
        <w:rPr>
          <w:sz w:val="20"/>
          <w:szCs w:val="20"/>
        </w:rPr>
        <w:t>patients’ right of access to their electronic records.</w:t>
      </w:r>
    </w:p>
    <w:p w:rsidRPr="00483F2B" w:rsidR="00EE122F" w:rsidP="0057502A" w:rsidRDefault="00EE122F" w14:paraId="5A94EFBF" w14:textId="77777777">
      <w:pPr>
        <w:rPr>
          <w:sz w:val="20"/>
          <w:szCs w:val="20"/>
        </w:rPr>
      </w:pPr>
    </w:p>
    <w:p w:rsidRPr="00483F2B" w:rsidR="00EE122F" w:rsidP="00EE122F" w:rsidRDefault="00EE122F" w14:paraId="32555068" w14:textId="4CF7C15F">
      <w:pPr>
        <w:rPr>
          <w:sz w:val="20"/>
          <w:szCs w:val="20"/>
        </w:rPr>
      </w:pPr>
      <w:r w:rsidRPr="00483F2B">
        <w:rPr>
          <w:sz w:val="20"/>
          <w:szCs w:val="20"/>
        </w:rPr>
        <w:t xml:space="preserve">The Cures Act rule required EHR vendors with certified Health IT modules to comply with the </w:t>
      </w:r>
      <w:hyperlink w:history="1" r:id="rId15">
        <w:r w:rsidRPr="00483F2B">
          <w:rPr>
            <w:rStyle w:val="Hyperlink"/>
            <w:sz w:val="20"/>
            <w:szCs w:val="20"/>
          </w:rPr>
          <w:t>U.S. Core Data for Interoperability (V1)</w:t>
        </w:r>
      </w:hyperlink>
      <w:r w:rsidRPr="00483F2B">
        <w:rPr>
          <w:sz w:val="20"/>
          <w:szCs w:val="20"/>
        </w:rPr>
        <w:t xml:space="preserve"> </w:t>
      </w:r>
      <w:r w:rsidRPr="00483F2B" w:rsidR="00E9399B">
        <w:rPr>
          <w:sz w:val="20"/>
          <w:szCs w:val="20"/>
        </w:rPr>
        <w:t xml:space="preserve">standard </w:t>
      </w:r>
      <w:r w:rsidRPr="00483F2B">
        <w:rPr>
          <w:sz w:val="20"/>
          <w:szCs w:val="20"/>
        </w:rPr>
        <w:t>for several certification criteria involving the sharing and exchange of health information, including transitions of care</w:t>
      </w:r>
      <w:r w:rsidRPr="00483F2B" w:rsidR="00FB203A">
        <w:rPr>
          <w:sz w:val="20"/>
          <w:szCs w:val="20"/>
        </w:rPr>
        <w:t>;</w:t>
      </w:r>
      <w:r w:rsidRPr="00483F2B">
        <w:rPr>
          <w:sz w:val="20"/>
          <w:szCs w:val="20"/>
        </w:rPr>
        <w:t xml:space="preserve"> clinical information reconciliation and incorporation</w:t>
      </w:r>
      <w:r w:rsidRPr="00483F2B" w:rsidR="00FB203A">
        <w:rPr>
          <w:sz w:val="20"/>
          <w:szCs w:val="20"/>
        </w:rPr>
        <w:t>;</w:t>
      </w:r>
      <w:r w:rsidRPr="00483F2B">
        <w:rPr>
          <w:sz w:val="20"/>
          <w:szCs w:val="20"/>
        </w:rPr>
        <w:t xml:space="preserve"> view, download, and transmit to 3rd party</w:t>
      </w:r>
      <w:r w:rsidRPr="00483F2B" w:rsidR="00FB203A">
        <w:rPr>
          <w:sz w:val="20"/>
          <w:szCs w:val="20"/>
        </w:rPr>
        <w:t>;</w:t>
      </w:r>
      <w:r w:rsidRPr="00483F2B">
        <w:rPr>
          <w:sz w:val="20"/>
          <w:szCs w:val="20"/>
        </w:rPr>
        <w:t xml:space="preserve"> transmission to public health agencies for electronic case reporting</w:t>
      </w:r>
      <w:r w:rsidRPr="00483F2B" w:rsidR="00FB203A">
        <w:rPr>
          <w:sz w:val="20"/>
          <w:szCs w:val="20"/>
        </w:rPr>
        <w:t>;</w:t>
      </w:r>
      <w:r w:rsidRPr="00483F2B">
        <w:rPr>
          <w:sz w:val="20"/>
          <w:szCs w:val="20"/>
        </w:rPr>
        <w:t xml:space="preserve"> application access–data request</w:t>
      </w:r>
      <w:r w:rsidRPr="00483F2B" w:rsidR="00FB203A">
        <w:rPr>
          <w:sz w:val="20"/>
          <w:szCs w:val="20"/>
        </w:rPr>
        <w:t>;</w:t>
      </w:r>
      <w:r w:rsidRPr="00483F2B">
        <w:rPr>
          <w:sz w:val="20"/>
          <w:szCs w:val="20"/>
        </w:rPr>
        <w:t xml:space="preserve"> and the standardized </w:t>
      </w:r>
      <w:r w:rsidRPr="00483F2B" w:rsidR="00FB203A">
        <w:rPr>
          <w:sz w:val="20"/>
          <w:szCs w:val="20"/>
        </w:rPr>
        <w:t>application programming interface (</w:t>
      </w:r>
      <w:r w:rsidRPr="00483F2B">
        <w:rPr>
          <w:sz w:val="20"/>
          <w:szCs w:val="20"/>
        </w:rPr>
        <w:t>API</w:t>
      </w:r>
      <w:r w:rsidRPr="00483F2B" w:rsidR="00FB203A">
        <w:rPr>
          <w:sz w:val="20"/>
          <w:szCs w:val="20"/>
        </w:rPr>
        <w:t>)</w:t>
      </w:r>
      <w:r w:rsidRPr="00483F2B">
        <w:rPr>
          <w:sz w:val="20"/>
          <w:szCs w:val="20"/>
        </w:rPr>
        <w:t xml:space="preserve"> for patient and population services. This means individual providers should be able</w:t>
      </w:r>
      <w:r w:rsidRPr="00483F2B" w:rsidR="00E9399B">
        <w:rPr>
          <w:sz w:val="20"/>
          <w:szCs w:val="20"/>
        </w:rPr>
        <w:t xml:space="preserve"> to</w:t>
      </w:r>
      <w:r w:rsidRPr="00483F2B">
        <w:rPr>
          <w:sz w:val="20"/>
          <w:szCs w:val="20"/>
        </w:rPr>
        <w:t xml:space="preserve">, without any special effort or </w:t>
      </w:r>
      <w:r w:rsidRPr="00483F2B" w:rsidR="00E9399B">
        <w:rPr>
          <w:sz w:val="20"/>
          <w:szCs w:val="20"/>
        </w:rPr>
        <w:t xml:space="preserve">technical </w:t>
      </w:r>
      <w:r w:rsidRPr="00483F2B">
        <w:rPr>
          <w:sz w:val="20"/>
          <w:szCs w:val="20"/>
        </w:rPr>
        <w:t>assistance, automatically or selectively push any of the clinical note types listed in the USCDI standard to the patient portal. Providers are required to share the</w:t>
      </w:r>
      <w:r w:rsidRPr="00483F2B" w:rsidR="00E9399B">
        <w:rPr>
          <w:sz w:val="20"/>
          <w:szCs w:val="20"/>
        </w:rPr>
        <w:t xml:space="preserve"> following</w:t>
      </w:r>
      <w:r w:rsidRPr="00483F2B">
        <w:rPr>
          <w:sz w:val="20"/>
          <w:szCs w:val="20"/>
        </w:rPr>
        <w:t xml:space="preserve"> note types</w:t>
      </w:r>
      <w:r w:rsidRPr="00483F2B" w:rsidR="00E9399B">
        <w:rPr>
          <w:sz w:val="20"/>
          <w:szCs w:val="20"/>
        </w:rPr>
        <w:t xml:space="preserve"> electronically</w:t>
      </w:r>
      <w:r w:rsidRPr="00483F2B">
        <w:rPr>
          <w:sz w:val="20"/>
          <w:szCs w:val="20"/>
        </w:rPr>
        <w:t xml:space="preserve"> with patients and other authorized requestors without delay unless they can meet and document an exception: consultation note, discharge summary note (not applicable to clinics), history &amp; physical, </w:t>
      </w:r>
      <w:r w:rsidRPr="00483F2B">
        <w:rPr>
          <w:sz w:val="20"/>
          <w:szCs w:val="20"/>
        </w:rPr>
        <w:lastRenderedPageBreak/>
        <w:t xml:space="preserve">procedure note, progress note (i.e., outpatient visit/encounter note), lab report narrative, pathology report narrative, and imaging narrative. </w:t>
      </w:r>
    </w:p>
    <w:p w:rsidRPr="00483F2B" w:rsidR="004129B0" w:rsidP="0057502A" w:rsidRDefault="004129B0" w14:paraId="4B9B9867" w14:textId="77777777">
      <w:pPr>
        <w:rPr>
          <w:sz w:val="20"/>
          <w:szCs w:val="20"/>
        </w:rPr>
      </w:pPr>
    </w:p>
    <w:p w:rsidRPr="00483F2B" w:rsidR="007912CC" w:rsidP="0057502A" w:rsidRDefault="009B1DFC" w14:paraId="57B164C7" w14:textId="5EA41163">
      <w:pPr>
        <w:rPr>
          <w:sz w:val="20"/>
          <w:szCs w:val="20"/>
        </w:rPr>
      </w:pPr>
      <w:r w:rsidRPr="7D7EAD91" w:rsidR="009B1DFC">
        <w:rPr>
          <w:sz w:val="20"/>
          <w:szCs w:val="20"/>
        </w:rPr>
        <w:t xml:space="preserve">If your clinic uses the latest federally </w:t>
      </w:r>
      <w:r w:rsidRPr="7D7EAD91" w:rsidR="004129B0">
        <w:rPr>
          <w:sz w:val="20"/>
          <w:szCs w:val="20"/>
        </w:rPr>
        <w:t>certified EHR technology</w:t>
      </w:r>
      <w:r w:rsidRPr="7D7EAD91" w:rsidR="009B1DFC">
        <w:rPr>
          <w:sz w:val="20"/>
          <w:szCs w:val="20"/>
        </w:rPr>
        <w:t xml:space="preserve">, it </w:t>
      </w:r>
      <w:r w:rsidRPr="7D7EAD91" w:rsidR="004129B0">
        <w:rPr>
          <w:sz w:val="20"/>
          <w:szCs w:val="20"/>
        </w:rPr>
        <w:t>should have native capabilities to share a patient’s records electronically, such as via the patient portal, secure messaging, or health information exchange for</w:t>
      </w:r>
      <w:r w:rsidRPr="7D7EAD91" w:rsidR="002D57C7">
        <w:rPr>
          <w:sz w:val="20"/>
          <w:szCs w:val="20"/>
        </w:rPr>
        <w:t xml:space="preserve"> any</w:t>
      </w:r>
      <w:r w:rsidRPr="7D7EAD91" w:rsidR="00BE13A0">
        <w:rPr>
          <w:sz w:val="20"/>
          <w:szCs w:val="20"/>
        </w:rPr>
        <w:t xml:space="preserve"> or </w:t>
      </w:r>
      <w:r w:rsidRPr="7D7EAD91" w:rsidR="002D57C7">
        <w:rPr>
          <w:sz w:val="20"/>
          <w:szCs w:val="20"/>
        </w:rPr>
        <w:t>all of</w:t>
      </w:r>
      <w:r w:rsidRPr="7D7EAD91" w:rsidR="002D57C7">
        <w:rPr>
          <w:sz w:val="20"/>
          <w:szCs w:val="20"/>
        </w:rPr>
        <w:t xml:space="preserve"> the data elements within the </w:t>
      </w:r>
      <w:r w:rsidRPr="7D7EAD91" w:rsidR="004129B0">
        <w:rPr>
          <w:sz w:val="20"/>
          <w:szCs w:val="20"/>
        </w:rPr>
        <w:t>USCDI</w:t>
      </w:r>
      <w:r w:rsidRPr="7D7EAD91" w:rsidR="002D57C7">
        <w:rPr>
          <w:sz w:val="20"/>
          <w:szCs w:val="20"/>
        </w:rPr>
        <w:t>v1 data classes</w:t>
      </w:r>
      <w:r w:rsidRPr="7D7EAD91" w:rsidR="005C607C">
        <w:rPr>
          <w:sz w:val="20"/>
          <w:szCs w:val="20"/>
        </w:rPr>
        <w:t>. This data</w:t>
      </w:r>
      <w:r w:rsidRPr="7D7EAD91" w:rsidR="002D57C7">
        <w:rPr>
          <w:sz w:val="20"/>
          <w:szCs w:val="20"/>
        </w:rPr>
        <w:t xml:space="preserve"> should be readily available</w:t>
      </w:r>
      <w:r w:rsidRPr="7D7EAD91" w:rsidR="005C607C">
        <w:rPr>
          <w:sz w:val="20"/>
          <w:szCs w:val="20"/>
        </w:rPr>
        <w:t xml:space="preserve"> via the health IT module</w:t>
      </w:r>
      <w:r w:rsidRPr="7D7EAD91" w:rsidR="00E9399B">
        <w:rPr>
          <w:sz w:val="20"/>
          <w:szCs w:val="20"/>
        </w:rPr>
        <w:t xml:space="preserve"> (usually the patient portal)</w:t>
      </w:r>
      <w:r w:rsidRPr="7D7EAD91" w:rsidR="005C607C">
        <w:rPr>
          <w:sz w:val="20"/>
          <w:szCs w:val="20"/>
        </w:rPr>
        <w:t xml:space="preserve"> certified </w:t>
      </w:r>
      <w:r w:rsidRPr="7D7EAD91" w:rsidR="002D57C7">
        <w:rPr>
          <w:sz w:val="20"/>
          <w:szCs w:val="20"/>
        </w:rPr>
        <w:t>to</w:t>
      </w:r>
      <w:r w:rsidRPr="7D7EAD91" w:rsidR="009B1DFC">
        <w:rPr>
          <w:sz w:val="20"/>
          <w:szCs w:val="20"/>
        </w:rPr>
        <w:t xml:space="preserve"> </w:t>
      </w:r>
      <w:r w:rsidRPr="7D7EAD91" w:rsidR="4E260880">
        <w:rPr>
          <w:sz w:val="20"/>
          <w:szCs w:val="20"/>
        </w:rPr>
        <w:t>view</w:t>
      </w:r>
      <w:r w:rsidRPr="7D7EAD91" w:rsidR="002D57C7">
        <w:rPr>
          <w:sz w:val="20"/>
          <w:szCs w:val="20"/>
        </w:rPr>
        <w:t>, download</w:t>
      </w:r>
      <w:r w:rsidRPr="7D7EAD91" w:rsidR="00E9399B">
        <w:rPr>
          <w:sz w:val="20"/>
          <w:szCs w:val="20"/>
        </w:rPr>
        <w:t>,</w:t>
      </w:r>
      <w:r w:rsidRPr="7D7EAD91" w:rsidR="002D57C7">
        <w:rPr>
          <w:sz w:val="20"/>
          <w:szCs w:val="20"/>
        </w:rPr>
        <w:t xml:space="preserve"> or </w:t>
      </w:r>
      <w:r w:rsidRPr="7D7EAD91" w:rsidR="002D57C7">
        <w:rPr>
          <w:sz w:val="20"/>
          <w:szCs w:val="20"/>
        </w:rPr>
        <w:t>transmit</w:t>
      </w:r>
      <w:r w:rsidRPr="7D7EAD91" w:rsidR="002D57C7">
        <w:rPr>
          <w:sz w:val="20"/>
          <w:szCs w:val="20"/>
        </w:rPr>
        <w:t xml:space="preserve"> to a </w:t>
      </w:r>
      <w:r w:rsidRPr="7D7EAD91" w:rsidR="002D57C7">
        <w:rPr>
          <w:sz w:val="20"/>
          <w:szCs w:val="20"/>
        </w:rPr>
        <w:t>3</w:t>
      </w:r>
      <w:r w:rsidRPr="7D7EAD91" w:rsidR="002D57C7">
        <w:rPr>
          <w:sz w:val="20"/>
          <w:szCs w:val="20"/>
          <w:vertAlign w:val="superscript"/>
        </w:rPr>
        <w:t>rd</w:t>
      </w:r>
      <w:r w:rsidRPr="7D7EAD91" w:rsidR="002D57C7">
        <w:rPr>
          <w:sz w:val="20"/>
          <w:szCs w:val="20"/>
        </w:rPr>
        <w:t>-party</w:t>
      </w:r>
      <w:r w:rsidRPr="7D7EAD91" w:rsidR="00EE122F">
        <w:rPr>
          <w:sz w:val="20"/>
          <w:szCs w:val="20"/>
        </w:rPr>
        <w:t xml:space="preserve"> </w:t>
      </w:r>
      <w:r w:rsidRPr="7D7EAD91" w:rsidR="00287E82">
        <w:rPr>
          <w:sz w:val="20"/>
          <w:szCs w:val="20"/>
        </w:rPr>
        <w:t xml:space="preserve">(VDT) </w:t>
      </w:r>
      <w:r w:rsidRPr="7D7EAD91" w:rsidR="0065116F">
        <w:rPr>
          <w:sz w:val="20"/>
          <w:szCs w:val="20"/>
        </w:rPr>
        <w:t>criterion</w:t>
      </w:r>
      <w:r w:rsidRPr="7D7EAD91" w:rsidR="00EE122F">
        <w:rPr>
          <w:sz w:val="20"/>
          <w:szCs w:val="20"/>
        </w:rPr>
        <w:t>. This includes transmitting the data</w:t>
      </w:r>
      <w:r w:rsidRPr="7D7EAD91" w:rsidR="009B1DFC">
        <w:rPr>
          <w:sz w:val="20"/>
          <w:szCs w:val="20"/>
        </w:rPr>
        <w:t xml:space="preserve"> </w:t>
      </w:r>
      <w:r w:rsidRPr="7D7EAD91" w:rsidR="002D57C7">
        <w:rPr>
          <w:sz w:val="20"/>
          <w:szCs w:val="20"/>
        </w:rPr>
        <w:t xml:space="preserve">to </w:t>
      </w:r>
      <w:r w:rsidRPr="7D7EAD91" w:rsidR="00383677">
        <w:rPr>
          <w:sz w:val="20"/>
          <w:szCs w:val="20"/>
        </w:rPr>
        <w:t xml:space="preserve">a </w:t>
      </w:r>
      <w:r w:rsidRPr="7D7EAD91" w:rsidR="002D57C7">
        <w:rPr>
          <w:sz w:val="20"/>
          <w:szCs w:val="20"/>
        </w:rPr>
        <w:t>patient-facing app</w:t>
      </w:r>
      <w:r w:rsidRPr="7D7EAD91" w:rsidR="00E9399B">
        <w:rPr>
          <w:sz w:val="20"/>
          <w:szCs w:val="20"/>
        </w:rPr>
        <w:t>lication (“app”)</w:t>
      </w:r>
      <w:r w:rsidRPr="7D7EAD91" w:rsidR="00352C2A">
        <w:rPr>
          <w:sz w:val="20"/>
          <w:szCs w:val="20"/>
        </w:rPr>
        <w:t>, such as a mobile health app,</w:t>
      </w:r>
      <w:r w:rsidRPr="7D7EAD91" w:rsidR="00EE122F">
        <w:rPr>
          <w:sz w:val="20"/>
          <w:szCs w:val="20"/>
        </w:rPr>
        <w:t xml:space="preserve"> </w:t>
      </w:r>
      <w:r w:rsidRPr="7D7EAD91" w:rsidR="00EE122F">
        <w:rPr>
          <w:sz w:val="20"/>
          <w:szCs w:val="20"/>
        </w:rPr>
        <w:t>that</w:t>
      </w:r>
      <w:r w:rsidRPr="7D7EAD91" w:rsidR="00EE122F">
        <w:rPr>
          <w:sz w:val="20"/>
          <w:szCs w:val="20"/>
        </w:rPr>
        <w:t xml:space="preserve"> conform</w:t>
      </w:r>
      <w:r w:rsidRPr="7D7EAD91" w:rsidR="00383677">
        <w:rPr>
          <w:sz w:val="20"/>
          <w:szCs w:val="20"/>
        </w:rPr>
        <w:t>s</w:t>
      </w:r>
      <w:r w:rsidRPr="7D7EAD91" w:rsidR="00EE122F">
        <w:rPr>
          <w:sz w:val="20"/>
          <w:szCs w:val="20"/>
        </w:rPr>
        <w:t xml:space="preserve"> to the </w:t>
      </w:r>
      <w:r w:rsidRPr="7D7EAD91" w:rsidR="00814FB9">
        <w:rPr>
          <w:sz w:val="20"/>
          <w:szCs w:val="20"/>
        </w:rPr>
        <w:t xml:space="preserve">applicable </w:t>
      </w:r>
      <w:r w:rsidRPr="7D7EAD91" w:rsidR="00383677">
        <w:rPr>
          <w:sz w:val="20"/>
          <w:szCs w:val="20"/>
        </w:rPr>
        <w:t xml:space="preserve">application programming interface (API) </w:t>
      </w:r>
      <w:r w:rsidRPr="7D7EAD91" w:rsidR="00EE122F">
        <w:rPr>
          <w:sz w:val="20"/>
          <w:szCs w:val="20"/>
        </w:rPr>
        <w:t>standards</w:t>
      </w:r>
      <w:r w:rsidRPr="7D7EAD91" w:rsidR="00814FB9">
        <w:rPr>
          <w:sz w:val="20"/>
          <w:szCs w:val="20"/>
        </w:rPr>
        <w:t xml:space="preserve"> and implementation guide for the certified API</w:t>
      </w:r>
      <w:r w:rsidRPr="7D7EAD91" w:rsidR="00287E82">
        <w:rPr>
          <w:sz w:val="20"/>
          <w:szCs w:val="20"/>
        </w:rPr>
        <w:t xml:space="preserve"> for patient and population services</w:t>
      </w:r>
      <w:r w:rsidRPr="7D7EAD91" w:rsidR="002D57C7">
        <w:rPr>
          <w:sz w:val="20"/>
          <w:szCs w:val="20"/>
        </w:rPr>
        <w:t xml:space="preserve">. </w:t>
      </w:r>
      <w:r w:rsidRPr="7D7EAD91" w:rsidR="00814FB9">
        <w:rPr>
          <w:sz w:val="20"/>
          <w:szCs w:val="20"/>
        </w:rPr>
        <w:t>The developer of a patient-facing app must register the app before it can connect</w:t>
      </w:r>
      <w:r w:rsidRPr="7D7EAD91" w:rsidR="00352C2A">
        <w:rPr>
          <w:sz w:val="20"/>
          <w:szCs w:val="20"/>
        </w:rPr>
        <w:t xml:space="preserve"> </w:t>
      </w:r>
      <w:r w:rsidRPr="7D7EAD91" w:rsidR="00775CC2">
        <w:rPr>
          <w:sz w:val="20"/>
          <w:szCs w:val="20"/>
        </w:rPr>
        <w:t xml:space="preserve">to </w:t>
      </w:r>
      <w:r w:rsidRPr="7D7EAD91" w:rsidR="00352C2A">
        <w:rPr>
          <w:sz w:val="20"/>
          <w:szCs w:val="20"/>
        </w:rPr>
        <w:t>the certified EHR technology you use</w:t>
      </w:r>
      <w:r w:rsidRPr="7D7EAD91" w:rsidR="00814FB9">
        <w:rPr>
          <w:sz w:val="20"/>
          <w:szCs w:val="20"/>
        </w:rPr>
        <w:t>.</w:t>
      </w:r>
      <w:r w:rsidRPr="7D7EAD91" w:rsidR="00775CC2">
        <w:rPr>
          <w:sz w:val="20"/>
          <w:szCs w:val="20"/>
        </w:rPr>
        <w:t xml:space="preserve"> </w:t>
      </w:r>
      <w:r w:rsidRPr="7D7EAD91" w:rsidR="00775CC2">
        <w:rPr>
          <w:sz w:val="20"/>
          <w:szCs w:val="20"/>
        </w:rPr>
        <w:t>The health IT vendor that provides your certified EHR technology should provide you</w:t>
      </w:r>
      <w:r w:rsidRPr="7D7EAD91" w:rsidR="00BE13A0">
        <w:rPr>
          <w:sz w:val="20"/>
          <w:szCs w:val="20"/>
        </w:rPr>
        <w:t xml:space="preserve">r </w:t>
      </w:r>
      <w:r w:rsidRPr="7D7EAD91" w:rsidR="48389183">
        <w:rPr>
          <w:sz w:val="20"/>
          <w:szCs w:val="20"/>
        </w:rPr>
        <w:t>organization with</w:t>
      </w:r>
      <w:r w:rsidRPr="7D7EAD91" w:rsidR="00775CC2">
        <w:rPr>
          <w:sz w:val="20"/>
          <w:szCs w:val="20"/>
        </w:rPr>
        <w:t xml:space="preserve"> </w:t>
      </w:r>
      <w:r w:rsidRPr="7D7EAD91" w:rsidR="00BE13A0">
        <w:rPr>
          <w:sz w:val="20"/>
          <w:szCs w:val="20"/>
        </w:rPr>
        <w:t xml:space="preserve">the </w:t>
      </w:r>
      <w:r w:rsidRPr="7D7EAD91" w:rsidR="00775CC2">
        <w:rPr>
          <w:sz w:val="20"/>
          <w:szCs w:val="20"/>
        </w:rPr>
        <w:t xml:space="preserve">details on their process for </w:t>
      </w:r>
      <w:r w:rsidRPr="7D7EAD91" w:rsidR="00761041">
        <w:rPr>
          <w:sz w:val="20"/>
          <w:szCs w:val="20"/>
        </w:rPr>
        <w:t xml:space="preserve">third-party </w:t>
      </w:r>
      <w:r w:rsidRPr="7D7EAD91" w:rsidR="00775CC2">
        <w:rPr>
          <w:sz w:val="20"/>
          <w:szCs w:val="20"/>
        </w:rPr>
        <w:t>app registration and tell you</w:t>
      </w:r>
      <w:r w:rsidRPr="7D7EAD91" w:rsidR="00BE13A0">
        <w:rPr>
          <w:sz w:val="20"/>
          <w:szCs w:val="20"/>
        </w:rPr>
        <w:t>r organization</w:t>
      </w:r>
      <w:r w:rsidRPr="7D7EAD91" w:rsidR="00775CC2">
        <w:rPr>
          <w:sz w:val="20"/>
          <w:szCs w:val="20"/>
        </w:rPr>
        <w:t xml:space="preserve"> what </w:t>
      </w:r>
      <w:r w:rsidRPr="7D7EAD91" w:rsidR="00761041">
        <w:rPr>
          <w:sz w:val="20"/>
          <w:szCs w:val="20"/>
        </w:rPr>
        <w:t>you</w:t>
      </w:r>
      <w:r w:rsidRPr="7D7EAD91" w:rsidR="00775CC2">
        <w:rPr>
          <w:sz w:val="20"/>
          <w:szCs w:val="20"/>
        </w:rPr>
        <w:t xml:space="preserve"> </w:t>
      </w:r>
      <w:r w:rsidRPr="7D7EAD91" w:rsidR="00775CC2">
        <w:rPr>
          <w:sz w:val="20"/>
          <w:szCs w:val="20"/>
        </w:rPr>
        <w:t>are required to</w:t>
      </w:r>
      <w:r w:rsidRPr="7D7EAD91" w:rsidR="00775CC2">
        <w:rPr>
          <w:sz w:val="20"/>
          <w:szCs w:val="20"/>
        </w:rPr>
        <w:t xml:space="preserve"> </w:t>
      </w:r>
      <w:r w:rsidRPr="7D7EAD91" w:rsidR="00775CC2">
        <w:rPr>
          <w:sz w:val="20"/>
          <w:szCs w:val="20"/>
        </w:rPr>
        <w:t>do, if</w:t>
      </w:r>
      <w:r w:rsidRPr="7D7EAD91" w:rsidR="00775CC2">
        <w:rPr>
          <w:sz w:val="20"/>
          <w:szCs w:val="20"/>
        </w:rPr>
        <w:t xml:space="preserve"> anything. </w:t>
      </w:r>
      <w:r w:rsidRPr="7D7EAD91" w:rsidR="00352C2A">
        <w:rPr>
          <w:sz w:val="20"/>
          <w:szCs w:val="20"/>
        </w:rPr>
        <w:t xml:space="preserve">If </w:t>
      </w:r>
      <w:r w:rsidRPr="7D7EAD91" w:rsidR="00775CC2">
        <w:rPr>
          <w:sz w:val="20"/>
          <w:szCs w:val="20"/>
        </w:rPr>
        <w:t>the</w:t>
      </w:r>
      <w:r w:rsidRPr="7D7EAD91" w:rsidR="00352C2A">
        <w:rPr>
          <w:sz w:val="20"/>
          <w:szCs w:val="20"/>
        </w:rPr>
        <w:t xml:space="preserve"> </w:t>
      </w:r>
      <w:r w:rsidRPr="7D7EAD91" w:rsidR="00775CC2">
        <w:rPr>
          <w:sz w:val="20"/>
          <w:szCs w:val="20"/>
        </w:rPr>
        <w:t xml:space="preserve">patient-facing </w:t>
      </w:r>
      <w:r w:rsidRPr="7D7EAD91" w:rsidR="00352C2A">
        <w:rPr>
          <w:sz w:val="20"/>
          <w:szCs w:val="20"/>
        </w:rPr>
        <w:t>a</w:t>
      </w:r>
      <w:r w:rsidRPr="7D7EAD91" w:rsidR="00352C2A">
        <w:rPr>
          <w:sz w:val="20"/>
          <w:szCs w:val="20"/>
        </w:rPr>
        <w:t>pp</w:t>
      </w:r>
      <w:r w:rsidRPr="7D7EAD91" w:rsidR="000D2164">
        <w:rPr>
          <w:sz w:val="20"/>
          <w:szCs w:val="20"/>
        </w:rPr>
        <w:t xml:space="preserve"> was developed and implemented correctly and</w:t>
      </w:r>
      <w:r w:rsidRPr="7D7EAD91" w:rsidR="00352C2A">
        <w:rPr>
          <w:sz w:val="20"/>
          <w:szCs w:val="20"/>
        </w:rPr>
        <w:t xml:space="preserve"> </w:t>
      </w:r>
      <w:r w:rsidRPr="7D7EAD91" w:rsidR="00352C2A">
        <w:rPr>
          <w:sz w:val="20"/>
          <w:szCs w:val="20"/>
        </w:rPr>
        <w:t xml:space="preserve">is </w:t>
      </w:r>
      <w:r w:rsidRPr="7D7EAD91" w:rsidR="00775CC2">
        <w:rPr>
          <w:sz w:val="20"/>
          <w:szCs w:val="20"/>
        </w:rPr>
        <w:t xml:space="preserve">able </w:t>
      </w:r>
      <w:r w:rsidRPr="7D7EAD91" w:rsidR="00352C2A">
        <w:rPr>
          <w:sz w:val="20"/>
          <w:szCs w:val="20"/>
        </w:rPr>
        <w:t xml:space="preserve">to </w:t>
      </w:r>
      <w:r w:rsidRPr="7D7EAD91" w:rsidR="00352C2A">
        <w:rPr>
          <w:sz w:val="20"/>
          <w:szCs w:val="20"/>
        </w:rPr>
        <w:t xml:space="preserve">successfully </w:t>
      </w:r>
      <w:r w:rsidRPr="7D7EAD91" w:rsidR="00352C2A">
        <w:rPr>
          <w:sz w:val="20"/>
          <w:szCs w:val="20"/>
        </w:rPr>
        <w:t xml:space="preserve">connect </w:t>
      </w:r>
      <w:r w:rsidRPr="7D7EAD91" w:rsidR="00761041">
        <w:rPr>
          <w:sz w:val="20"/>
          <w:szCs w:val="20"/>
        </w:rPr>
        <w:t>to your patient portal through</w:t>
      </w:r>
      <w:r w:rsidRPr="7D7EAD91" w:rsidR="00352C2A">
        <w:rPr>
          <w:sz w:val="20"/>
          <w:szCs w:val="20"/>
        </w:rPr>
        <w:t xml:space="preserve"> your </w:t>
      </w:r>
      <w:r w:rsidRPr="7D7EAD91" w:rsidR="00BE13A0">
        <w:rPr>
          <w:sz w:val="20"/>
          <w:szCs w:val="20"/>
        </w:rPr>
        <w:t xml:space="preserve">vendor’s </w:t>
      </w:r>
      <w:r w:rsidRPr="7D7EAD91" w:rsidR="00352C2A">
        <w:rPr>
          <w:sz w:val="20"/>
          <w:szCs w:val="20"/>
        </w:rPr>
        <w:t xml:space="preserve">certified </w:t>
      </w:r>
      <w:r w:rsidRPr="7D7EAD91" w:rsidR="00775CC2">
        <w:rPr>
          <w:sz w:val="20"/>
          <w:szCs w:val="20"/>
        </w:rPr>
        <w:t xml:space="preserve">API </w:t>
      </w:r>
      <w:r w:rsidRPr="7D7EAD91" w:rsidR="000D2164">
        <w:rPr>
          <w:sz w:val="20"/>
          <w:szCs w:val="20"/>
        </w:rPr>
        <w:t xml:space="preserve">endpoint </w:t>
      </w:r>
      <w:r w:rsidRPr="7D7EAD91" w:rsidR="00775CC2">
        <w:rPr>
          <w:sz w:val="20"/>
          <w:szCs w:val="20"/>
        </w:rPr>
        <w:t>for patient and population services</w:t>
      </w:r>
      <w:r w:rsidRPr="7D7EAD91" w:rsidR="00352C2A">
        <w:rPr>
          <w:sz w:val="20"/>
          <w:szCs w:val="20"/>
        </w:rPr>
        <w:t>, the</w:t>
      </w:r>
      <w:r w:rsidRPr="7D7EAD91" w:rsidR="00775CC2">
        <w:rPr>
          <w:sz w:val="20"/>
          <w:szCs w:val="20"/>
        </w:rPr>
        <w:t xml:space="preserve"> app</w:t>
      </w:r>
      <w:r w:rsidRPr="7D7EAD91" w:rsidR="00352C2A">
        <w:rPr>
          <w:sz w:val="20"/>
          <w:szCs w:val="20"/>
        </w:rPr>
        <w:t xml:space="preserve"> must </w:t>
      </w:r>
      <w:r w:rsidRPr="7D7EAD91" w:rsidR="00352C2A">
        <w:rPr>
          <w:sz w:val="20"/>
          <w:szCs w:val="20"/>
        </w:rPr>
        <w:t>get</w:t>
      </w:r>
      <w:r w:rsidRPr="7D7EAD91" w:rsidR="00352C2A">
        <w:rPr>
          <w:sz w:val="20"/>
          <w:szCs w:val="20"/>
        </w:rPr>
        <w:t xml:space="preserve"> </w:t>
      </w:r>
      <w:r w:rsidRPr="7D7EAD91" w:rsidR="00352C2A">
        <w:rPr>
          <w:sz w:val="20"/>
          <w:szCs w:val="20"/>
        </w:rPr>
        <w:t xml:space="preserve">the patient’s </w:t>
      </w:r>
      <w:r w:rsidRPr="7D7EAD91" w:rsidR="00352C2A">
        <w:rPr>
          <w:sz w:val="20"/>
          <w:szCs w:val="20"/>
        </w:rPr>
        <w:t>authorization</w:t>
      </w:r>
      <w:r w:rsidRPr="7D7EAD91" w:rsidR="00761041">
        <w:rPr>
          <w:sz w:val="20"/>
          <w:szCs w:val="20"/>
        </w:rPr>
        <w:t xml:space="preserve"> for the app to receive some or all the patient’s EHI in the patient’s portal account </w:t>
      </w:r>
      <w:r w:rsidRPr="7D7EAD91" w:rsidR="00352C2A">
        <w:rPr>
          <w:sz w:val="20"/>
          <w:szCs w:val="20"/>
        </w:rPr>
        <w:t xml:space="preserve">before </w:t>
      </w:r>
      <w:r w:rsidRPr="7D7EAD91" w:rsidR="00352C2A">
        <w:rPr>
          <w:sz w:val="20"/>
          <w:szCs w:val="20"/>
        </w:rPr>
        <w:t xml:space="preserve">the app will be allowed to receive </w:t>
      </w:r>
      <w:r w:rsidRPr="7D7EAD91" w:rsidR="00761041">
        <w:rPr>
          <w:sz w:val="20"/>
          <w:szCs w:val="20"/>
        </w:rPr>
        <w:t>the data</w:t>
      </w:r>
      <w:r w:rsidRPr="7D7EAD91" w:rsidR="00352C2A">
        <w:rPr>
          <w:sz w:val="20"/>
          <w:szCs w:val="20"/>
        </w:rPr>
        <w:t>.</w:t>
      </w:r>
      <w:r w:rsidRPr="7D7EAD91" w:rsidR="00FB203A">
        <w:rPr>
          <w:sz w:val="20"/>
          <w:szCs w:val="20"/>
        </w:rPr>
        <w:t xml:space="preserve"> </w:t>
      </w:r>
      <w:r w:rsidRPr="7D7EAD91" w:rsidR="781772BE">
        <w:rPr>
          <w:sz w:val="20"/>
          <w:szCs w:val="20"/>
        </w:rPr>
        <w:t>Clinicians and their staff are not expected to know which patient-facing apps conform to the standards and can connect to their EHR system’s certified API endpoint for patient and population services.</w:t>
      </w:r>
      <w:r w:rsidRPr="7D7EAD91" w:rsidR="00FB203A">
        <w:rPr>
          <w:sz w:val="20"/>
          <w:szCs w:val="20"/>
        </w:rPr>
        <w:t xml:space="preserve"> You should </w:t>
      </w:r>
      <w:r w:rsidRPr="7D7EAD91" w:rsidR="00FB203A">
        <w:rPr>
          <w:sz w:val="20"/>
          <w:szCs w:val="20"/>
        </w:rPr>
        <w:t>advise your patient to</w:t>
      </w:r>
      <w:r w:rsidRPr="7D7EAD91" w:rsidR="00FB203A">
        <w:rPr>
          <w:sz w:val="20"/>
          <w:szCs w:val="20"/>
        </w:rPr>
        <w:t xml:space="preserve"> contact the app developer offering the app. Or alternatively</w:t>
      </w:r>
      <w:r w:rsidRPr="7D7EAD91" w:rsidR="3398E60C">
        <w:rPr>
          <w:sz w:val="20"/>
          <w:szCs w:val="20"/>
        </w:rPr>
        <w:t>,</w:t>
      </w:r>
      <w:r w:rsidRPr="7D7EAD91" w:rsidR="00FB203A">
        <w:rPr>
          <w:sz w:val="20"/>
          <w:szCs w:val="20"/>
        </w:rPr>
        <w:t xml:space="preserve"> you could refer a patient’s question about whether a particular app can connect to your certified Health IT, to either your EHR vendor contact or your IT department depending on who </w:t>
      </w:r>
      <w:r w:rsidRPr="7D7EAD91" w:rsidR="00FB203A">
        <w:rPr>
          <w:sz w:val="20"/>
          <w:szCs w:val="20"/>
        </w:rPr>
        <w:t>provides</w:t>
      </w:r>
      <w:r w:rsidRPr="7D7EAD91" w:rsidR="00FB203A">
        <w:rPr>
          <w:sz w:val="20"/>
          <w:szCs w:val="20"/>
        </w:rPr>
        <w:t xml:space="preserve"> your clinic’s IT support for your EHR. </w:t>
      </w:r>
      <w:r w:rsidRPr="7D7EAD91" w:rsidR="002D57C7">
        <w:rPr>
          <w:sz w:val="20"/>
          <w:szCs w:val="20"/>
        </w:rPr>
        <w:t>Clinicians and clinical operations staff should be familiar with the VDT functionality within the patient portal to inform or instruct patients or their authorized representatives.</w:t>
      </w:r>
    </w:p>
    <w:p w:rsidRPr="00483F2B" w:rsidR="009B1DFC" w:rsidP="0057502A" w:rsidRDefault="009B1DFC" w14:paraId="31C09CF8" w14:textId="77777777">
      <w:pPr>
        <w:rPr>
          <w:sz w:val="20"/>
          <w:szCs w:val="20"/>
        </w:rPr>
      </w:pPr>
    </w:p>
    <w:p w:rsidRPr="00483F2B" w:rsidR="009B1DFC" w:rsidP="009B1DFC" w:rsidRDefault="009B1DFC" w14:paraId="69B90C34" w14:textId="79224AAB">
      <w:pPr>
        <w:rPr>
          <w:sz w:val="20"/>
          <w:szCs w:val="20"/>
        </w:rPr>
      </w:pPr>
      <w:r w:rsidRPr="11884649" w:rsidR="009B1DFC">
        <w:rPr>
          <w:sz w:val="20"/>
          <w:szCs w:val="20"/>
        </w:rPr>
        <w:t xml:space="preserve">Your patient has the right of access to </w:t>
      </w:r>
      <w:r w:rsidRPr="11884649" w:rsidR="00BE13A0">
        <w:rPr>
          <w:sz w:val="20"/>
          <w:szCs w:val="20"/>
        </w:rPr>
        <w:t>all</w:t>
      </w:r>
      <w:r w:rsidRPr="11884649" w:rsidR="009B1DFC">
        <w:rPr>
          <w:sz w:val="20"/>
          <w:szCs w:val="20"/>
        </w:rPr>
        <w:t xml:space="preserve"> his/her EHI including mental health records, except psychotherapy notes and any EHI withheld to prevent harm to the patient or another person in accord with HIPAA harm standards. HIPAA does not </w:t>
      </w:r>
      <w:r w:rsidRPr="11884649" w:rsidR="009B1DFC">
        <w:rPr>
          <w:sz w:val="20"/>
          <w:szCs w:val="20"/>
        </w:rPr>
        <w:t>provide</w:t>
      </w:r>
      <w:r w:rsidRPr="11884649" w:rsidR="009B1DFC">
        <w:rPr>
          <w:sz w:val="20"/>
          <w:szCs w:val="20"/>
        </w:rPr>
        <w:t xml:space="preserve"> special protection to mental health records in general (although your state law may), such as progress notes, but does give added protection to psychotherapy notes (i.e., “process notes”). Mental health professionals </w:t>
      </w:r>
      <w:r w:rsidRPr="11884649" w:rsidR="009B1DFC">
        <w:rPr>
          <w:sz w:val="20"/>
          <w:szCs w:val="20"/>
        </w:rPr>
        <w:t xml:space="preserve">are </w:t>
      </w:r>
      <w:r w:rsidRPr="11884649" w:rsidR="009B1DFC">
        <w:rPr>
          <w:sz w:val="20"/>
          <w:szCs w:val="20"/>
        </w:rPr>
        <w:t>permitted</w:t>
      </w:r>
      <w:r w:rsidRPr="11884649" w:rsidR="009B1DFC">
        <w:rPr>
          <w:sz w:val="20"/>
          <w:szCs w:val="20"/>
        </w:rPr>
        <w:t xml:space="preserve"> to share these notes with a patient if they choose </w:t>
      </w:r>
      <w:r w:rsidRPr="11884649" w:rsidR="0065116F">
        <w:rPr>
          <w:sz w:val="20"/>
          <w:szCs w:val="20"/>
        </w:rPr>
        <w:t>to,</w:t>
      </w:r>
      <w:r w:rsidRPr="11884649" w:rsidR="00EE122F">
        <w:rPr>
          <w:sz w:val="20"/>
          <w:szCs w:val="20"/>
        </w:rPr>
        <w:t xml:space="preserve"> but they are not part of a HIPAA DRS and </w:t>
      </w:r>
      <w:r w:rsidRPr="11884649" w:rsidR="00287E82">
        <w:rPr>
          <w:sz w:val="20"/>
          <w:szCs w:val="20"/>
        </w:rPr>
        <w:t>are excluded</w:t>
      </w:r>
      <w:r w:rsidRPr="11884649" w:rsidR="00EE122F">
        <w:rPr>
          <w:sz w:val="20"/>
          <w:szCs w:val="20"/>
        </w:rPr>
        <w:t xml:space="preserve"> from the definition of EHI</w:t>
      </w:r>
      <w:r w:rsidRPr="11884649" w:rsidR="009B1DFC">
        <w:rPr>
          <w:sz w:val="20"/>
          <w:szCs w:val="20"/>
        </w:rPr>
        <w:t xml:space="preserve">. </w:t>
      </w:r>
      <w:r w:rsidRPr="11884649" w:rsidR="009B1DFC">
        <w:rPr>
          <w:sz w:val="20"/>
          <w:szCs w:val="20"/>
        </w:rPr>
        <w:t xml:space="preserve">In </w:t>
      </w:r>
      <w:r w:rsidRPr="11884649" w:rsidR="0065116F">
        <w:rPr>
          <w:sz w:val="20"/>
          <w:szCs w:val="20"/>
        </w:rPr>
        <w:t>accordance</w:t>
      </w:r>
      <w:r w:rsidRPr="11884649" w:rsidR="009B1DFC">
        <w:rPr>
          <w:sz w:val="20"/>
          <w:szCs w:val="20"/>
        </w:rPr>
        <w:t xml:space="preserve"> with</w:t>
      </w:r>
      <w:r w:rsidRPr="11884649" w:rsidR="009B1DFC">
        <w:rPr>
          <w:sz w:val="20"/>
          <w:szCs w:val="20"/>
        </w:rPr>
        <w:t xml:space="preserve"> the Cures Act rule, your EHR vendor must provide</w:t>
      </w:r>
      <w:r w:rsidRPr="11884649" w:rsidR="00287E82">
        <w:rPr>
          <w:sz w:val="20"/>
          <w:szCs w:val="20"/>
        </w:rPr>
        <w:t>, by December 31, 2023,</w:t>
      </w:r>
      <w:r w:rsidRPr="11884649" w:rsidR="009B1DFC">
        <w:rPr>
          <w:sz w:val="20"/>
          <w:szCs w:val="20"/>
        </w:rPr>
        <w:t xml:space="preserve"> the capability to export a computable, machine-readable copy of all EHI for an individual patient or for all your patients. ONC did not require </w:t>
      </w:r>
      <w:r w:rsidRPr="11884649" w:rsidR="00E9399B">
        <w:rPr>
          <w:sz w:val="20"/>
          <w:szCs w:val="20"/>
        </w:rPr>
        <w:t xml:space="preserve">that </w:t>
      </w:r>
      <w:r w:rsidRPr="11884649" w:rsidR="009B1DFC">
        <w:rPr>
          <w:sz w:val="20"/>
          <w:szCs w:val="20"/>
        </w:rPr>
        <w:t>this capability support a direct full EHI export by the patient. If your patient requests all the EHI in his or her electronic medical record</w:t>
      </w:r>
      <w:r w:rsidRPr="11884649" w:rsidR="00EE122F">
        <w:rPr>
          <w:sz w:val="20"/>
          <w:szCs w:val="20"/>
        </w:rPr>
        <w:t xml:space="preserve"> beyond </w:t>
      </w:r>
      <w:r w:rsidRPr="11884649" w:rsidR="00287E82">
        <w:rPr>
          <w:sz w:val="20"/>
          <w:szCs w:val="20"/>
        </w:rPr>
        <w:t xml:space="preserve">the USCDI data </w:t>
      </w:r>
      <w:r w:rsidRPr="11884649" w:rsidR="00EE122F">
        <w:rPr>
          <w:sz w:val="20"/>
          <w:szCs w:val="20"/>
        </w:rPr>
        <w:t>currently available to them through the patient portal</w:t>
      </w:r>
      <w:r w:rsidRPr="11884649" w:rsidR="009B1DFC">
        <w:rPr>
          <w:sz w:val="20"/>
          <w:szCs w:val="20"/>
        </w:rPr>
        <w:t xml:space="preserve">, you may need to have your </w:t>
      </w:r>
      <w:r w:rsidRPr="11884649" w:rsidR="00E9399B">
        <w:rPr>
          <w:sz w:val="20"/>
          <w:szCs w:val="20"/>
        </w:rPr>
        <w:t>Health Information Management (HIM</w:t>
      </w:r>
      <w:r w:rsidRPr="11884649" w:rsidR="00E9399B">
        <w:rPr>
          <w:sz w:val="20"/>
          <w:szCs w:val="20"/>
        </w:rPr>
        <w:t>)</w:t>
      </w:r>
      <w:r w:rsidRPr="11884649" w:rsidR="009B1DFC">
        <w:rPr>
          <w:sz w:val="20"/>
          <w:szCs w:val="20"/>
        </w:rPr>
        <w:t xml:space="preserve"> or I</w:t>
      </w:r>
      <w:r w:rsidRPr="11884649" w:rsidR="00E9399B">
        <w:rPr>
          <w:sz w:val="20"/>
          <w:szCs w:val="20"/>
        </w:rPr>
        <w:t xml:space="preserve">nformation Services </w:t>
      </w:r>
      <w:r w:rsidRPr="11884649" w:rsidR="009B1DFC">
        <w:rPr>
          <w:sz w:val="20"/>
          <w:szCs w:val="20"/>
        </w:rPr>
        <w:t xml:space="preserve">staff </w:t>
      </w:r>
      <w:r w:rsidRPr="11884649" w:rsidR="009B1DFC">
        <w:rPr>
          <w:sz w:val="20"/>
          <w:szCs w:val="20"/>
        </w:rPr>
        <w:t>assist</w:t>
      </w:r>
      <w:r w:rsidRPr="11884649" w:rsidR="009B1DFC">
        <w:rPr>
          <w:sz w:val="20"/>
          <w:szCs w:val="20"/>
        </w:rPr>
        <w:t xml:space="preserve"> with fulfilling this request</w:t>
      </w:r>
      <w:r w:rsidRPr="11884649" w:rsidR="00EE122F">
        <w:rPr>
          <w:sz w:val="20"/>
          <w:szCs w:val="20"/>
        </w:rPr>
        <w:t xml:space="preserve"> depending on your clinic’s </w:t>
      </w:r>
      <w:r w:rsidRPr="11884649" w:rsidR="4AEF73D7">
        <w:rPr>
          <w:sz w:val="20"/>
          <w:szCs w:val="20"/>
        </w:rPr>
        <w:t>HIM</w:t>
      </w:r>
      <w:r w:rsidRPr="11884649" w:rsidR="00E9399B">
        <w:rPr>
          <w:sz w:val="20"/>
          <w:szCs w:val="20"/>
        </w:rPr>
        <w:t xml:space="preserve"> </w:t>
      </w:r>
      <w:r w:rsidRPr="11884649" w:rsidR="00EE122F">
        <w:rPr>
          <w:sz w:val="20"/>
          <w:szCs w:val="20"/>
        </w:rPr>
        <w:t>policies and procedures and technical capabilities</w:t>
      </w:r>
      <w:r w:rsidRPr="11884649" w:rsidR="009B1DFC">
        <w:rPr>
          <w:sz w:val="20"/>
          <w:szCs w:val="20"/>
        </w:rPr>
        <w:t xml:space="preserve">. If your clinic does not have the technical capability to </w:t>
      </w:r>
      <w:r w:rsidRPr="11884649" w:rsidR="009B1DFC">
        <w:rPr>
          <w:sz w:val="20"/>
          <w:szCs w:val="20"/>
        </w:rPr>
        <w:t>provide</w:t>
      </w:r>
      <w:r w:rsidRPr="11884649" w:rsidR="009B1DFC">
        <w:rPr>
          <w:sz w:val="20"/>
          <w:szCs w:val="20"/>
        </w:rPr>
        <w:t xml:space="preserve"> an EHI export to a patient</w:t>
      </w:r>
      <w:r w:rsidRPr="11884649" w:rsidR="00301B44">
        <w:rPr>
          <w:sz w:val="20"/>
          <w:szCs w:val="20"/>
        </w:rPr>
        <w:t xml:space="preserve"> or other authorized requestor</w:t>
      </w:r>
      <w:r w:rsidRPr="11884649" w:rsidR="009B1DFC">
        <w:rPr>
          <w:sz w:val="20"/>
          <w:szCs w:val="20"/>
        </w:rPr>
        <w:t xml:space="preserve">, your clinic may meet the </w:t>
      </w:r>
      <w:r w:rsidRPr="11884649" w:rsidR="009B1DFC">
        <w:rPr>
          <w:sz w:val="20"/>
          <w:szCs w:val="20"/>
        </w:rPr>
        <w:t>“Infeasible under the circumstances”</w:t>
      </w:r>
      <w:r w:rsidRPr="11884649" w:rsidR="009B1DFC">
        <w:rPr>
          <w:sz w:val="20"/>
          <w:szCs w:val="20"/>
        </w:rPr>
        <w:t xml:space="preserve"> condition under the Infeasibility exception but must respond in writing within </w:t>
      </w:r>
      <w:r w:rsidRPr="11884649" w:rsidR="009B1DFC">
        <w:rPr>
          <w:sz w:val="20"/>
          <w:szCs w:val="20"/>
        </w:rPr>
        <w:t>10 days</w:t>
      </w:r>
      <w:r w:rsidRPr="11884649" w:rsidR="009B1DFC">
        <w:rPr>
          <w:sz w:val="20"/>
          <w:szCs w:val="20"/>
        </w:rPr>
        <w:t xml:space="preserve"> of receipt of the request if it </w:t>
      </w:r>
      <w:r w:rsidRPr="11884649" w:rsidR="009B1DFC">
        <w:rPr>
          <w:sz w:val="20"/>
          <w:szCs w:val="20"/>
        </w:rPr>
        <w:t>determines</w:t>
      </w:r>
      <w:r w:rsidRPr="11884649" w:rsidR="009B1DFC">
        <w:rPr>
          <w:sz w:val="20"/>
          <w:szCs w:val="20"/>
        </w:rPr>
        <w:t xml:space="preserve"> the request is infeasible under the circumstances. </w:t>
      </w:r>
    </w:p>
    <w:p w:rsidRPr="00483F2B" w:rsidR="009B1DFC" w:rsidP="009B1DFC" w:rsidRDefault="009B1DFC" w14:paraId="7B160EAA" w14:textId="77777777">
      <w:pPr>
        <w:rPr>
          <w:sz w:val="20"/>
          <w:szCs w:val="20"/>
        </w:rPr>
      </w:pPr>
    </w:p>
    <w:p w:rsidRPr="00483F2B" w:rsidR="009B1DFC" w:rsidP="0057502A" w:rsidRDefault="009B1DFC" w14:paraId="07C9D908" w14:textId="33265B98" w14:noSpellErr="1">
      <w:pPr>
        <w:rPr>
          <w:sz w:val="20"/>
          <w:szCs w:val="20"/>
        </w:rPr>
      </w:pPr>
      <w:r w:rsidRPr="11884649" w:rsidR="009B1DFC">
        <w:rPr>
          <w:sz w:val="20"/>
          <w:szCs w:val="20"/>
        </w:rPr>
        <w:t>For information about the data sharing capabilities of your technology</w:t>
      </w:r>
      <w:r w:rsidRPr="11884649" w:rsidR="00EE122F">
        <w:rPr>
          <w:sz w:val="20"/>
          <w:szCs w:val="20"/>
        </w:rPr>
        <w:t xml:space="preserve"> or other related technical </w:t>
      </w:r>
      <w:r w:rsidRPr="11884649" w:rsidR="00EE122F">
        <w:rPr>
          <w:sz w:val="20"/>
          <w:szCs w:val="20"/>
        </w:rPr>
        <w:t>assistance</w:t>
      </w:r>
      <w:r w:rsidRPr="11884649" w:rsidR="009B1DFC">
        <w:rPr>
          <w:sz w:val="20"/>
          <w:szCs w:val="20"/>
        </w:rPr>
        <w:t xml:space="preserve">, contact </w:t>
      </w:r>
      <w:r w:rsidRPr="11884649" w:rsidR="009B1DFC">
        <w:rPr>
          <w:sz w:val="20"/>
          <w:szCs w:val="20"/>
          <w:highlight w:val="yellow"/>
        </w:rPr>
        <w:t>[include the contact info for the person that is the lead for providing this information and support to providers/clinical staff].</w:t>
      </w:r>
    </w:p>
    <w:p w:rsidRPr="00483F2B" w:rsidR="009B1DFC" w:rsidP="0057502A" w:rsidRDefault="009B1DFC" w14:paraId="56F63199" w14:textId="77777777">
      <w:pPr>
        <w:rPr>
          <w:sz w:val="20"/>
          <w:szCs w:val="20"/>
        </w:rPr>
      </w:pPr>
    </w:p>
    <w:p w:rsidRPr="00483F2B" w:rsidR="009B1DFC" w:rsidP="0057502A" w:rsidRDefault="009B1DFC" w14:paraId="608FB45A" w14:textId="7690D5A4">
      <w:pPr>
        <w:rPr>
          <w:sz w:val="20"/>
          <w:szCs w:val="20"/>
        </w:rPr>
      </w:pPr>
      <w:r w:rsidRPr="11884649" w:rsidR="009B1DFC">
        <w:rPr>
          <w:sz w:val="20"/>
          <w:szCs w:val="20"/>
        </w:rPr>
        <w:t xml:space="preserve">For questions on your clinic’s information blocking exception policies and procedures, contact </w:t>
      </w:r>
      <w:r w:rsidRPr="11884649" w:rsidR="009B1DFC">
        <w:rPr>
          <w:sz w:val="20"/>
          <w:szCs w:val="20"/>
          <w:highlight w:val="yellow"/>
        </w:rPr>
        <w:t xml:space="preserve">[include the contact info for the person who </w:t>
      </w:r>
      <w:r w:rsidRPr="11884649" w:rsidR="6678D1E4">
        <w:rPr>
          <w:sz w:val="20"/>
          <w:szCs w:val="20"/>
          <w:highlight w:val="yellow"/>
        </w:rPr>
        <w:t>the lead or authority on the information is</w:t>
      </w:r>
      <w:r w:rsidRPr="11884649" w:rsidR="009B1DFC">
        <w:rPr>
          <w:sz w:val="20"/>
          <w:szCs w:val="20"/>
          <w:highlight w:val="yellow"/>
        </w:rPr>
        <w:t xml:space="preserve"> blocking requirements and policies/processes for your clinic</w:t>
      </w:r>
      <w:r w:rsidRPr="11884649" w:rsidR="009B1DFC">
        <w:rPr>
          <w:sz w:val="20"/>
          <w:szCs w:val="20"/>
          <w:highlight w:val="yellow"/>
        </w:rPr>
        <w:t>].</w:t>
      </w:r>
    </w:p>
    <w:p w:rsidRPr="00483F2B" w:rsidR="009B1DFC" w:rsidP="0057502A" w:rsidRDefault="009B1DFC" w14:paraId="2DB4D721" w14:textId="77777777">
      <w:pPr>
        <w:rPr>
          <w:sz w:val="20"/>
          <w:szCs w:val="20"/>
        </w:rPr>
      </w:pPr>
    </w:p>
    <w:p w:rsidRPr="00483F2B" w:rsidR="009B1DFC" w:rsidRDefault="009B1DFC" w14:paraId="72BB87A2" w14:textId="77777777">
      <w:pPr>
        <w:rPr>
          <w:sz w:val="20"/>
          <w:szCs w:val="20"/>
        </w:rPr>
      </w:pPr>
    </w:p>
    <w:p w:rsidRPr="00483F2B" w:rsidR="002C18EA" w:rsidRDefault="002C18EA" w14:paraId="76E7EF05" w14:textId="3AC987B5">
      <w:pPr>
        <w:rPr>
          <w:sz w:val="20"/>
          <w:szCs w:val="20"/>
        </w:rPr>
      </w:pPr>
      <w:r w:rsidRPr="00483F2B">
        <w:rPr>
          <w:sz w:val="20"/>
          <w:szCs w:val="20"/>
        </w:rPr>
        <w:br w:type="page"/>
      </w:r>
    </w:p>
    <w:p w:rsidRPr="00483F2B" w:rsidR="002C18EA" w:rsidP="002C18EA" w:rsidRDefault="002C18EA" w14:paraId="1ABA868E" w14:textId="641DDECE">
      <w:pPr>
        <w:rPr>
          <w:sz w:val="20"/>
          <w:szCs w:val="20"/>
        </w:rPr>
      </w:pPr>
      <w:r w:rsidRPr="00483F2B">
        <w:rPr>
          <w:sz w:val="20"/>
          <w:szCs w:val="20"/>
        </w:rPr>
        <w:t>Attachment</w:t>
      </w:r>
    </w:p>
    <w:p w:rsidRPr="00483F2B" w:rsidR="002C18EA" w:rsidP="002C18EA" w:rsidRDefault="002C18EA" w14:paraId="46916C64" w14:textId="11CA1261">
      <w:pPr>
        <w:rPr>
          <w:sz w:val="20"/>
          <w:szCs w:val="20"/>
        </w:rPr>
      </w:pPr>
    </w:p>
    <w:p w:rsidRPr="00483F2B" w:rsidR="002C18EA" w:rsidP="002C18EA" w:rsidRDefault="00810FF2" w14:paraId="0DD63750" w14:textId="102FC3B8" w14:noSpellErr="1">
      <w:pPr>
        <w:rPr>
          <w:sz w:val="20"/>
          <w:szCs w:val="20"/>
        </w:rPr>
      </w:pPr>
      <w:r w:rsidR="00810FF2">
        <w:rPr>
          <w:sz w:val="20"/>
          <w:szCs w:val="20"/>
        </w:rPr>
        <w:t>Each of the</w:t>
      </w:r>
      <w:r w:rsidRPr="00483F2B" w:rsidR="004D27FB">
        <w:rPr>
          <w:sz w:val="20"/>
          <w:szCs w:val="20"/>
        </w:rPr>
        <w:t xml:space="preserve"> </w:t>
      </w:r>
      <w:r w:rsidR="00810FF2">
        <w:rPr>
          <w:sz w:val="20"/>
          <w:szCs w:val="20"/>
        </w:rPr>
        <w:t xml:space="preserve">examples below illustrate an </w:t>
      </w:r>
      <w:r w:rsidRPr="00483F2B" w:rsidR="002C18EA">
        <w:rPr>
          <w:sz w:val="20"/>
          <w:szCs w:val="20"/>
        </w:rPr>
        <w:t>IB exception scenario</w:t>
      </w:r>
      <w:r w:rsidR="00810FF2">
        <w:rPr>
          <w:sz w:val="20"/>
          <w:szCs w:val="20"/>
        </w:rPr>
        <w:t xml:space="preserve"> and the s</w:t>
      </w:r>
      <w:r w:rsidRPr="00483F2B" w:rsidR="006C5AD7">
        <w:rPr>
          <w:sz w:val="20"/>
          <w:szCs w:val="20"/>
        </w:rPr>
        <w:t xml:space="preserve">cenario assumes </w:t>
      </w:r>
      <w:r w:rsidRPr="00483F2B" w:rsidR="00282F70">
        <w:rPr>
          <w:sz w:val="20"/>
          <w:szCs w:val="20"/>
        </w:rPr>
        <w:t>the provider or clinical staff</w:t>
      </w:r>
      <w:r w:rsidRPr="00483F2B" w:rsidR="006C5AD7">
        <w:rPr>
          <w:sz w:val="20"/>
          <w:szCs w:val="20"/>
        </w:rPr>
        <w:t xml:space="preserve"> have met all of the </w:t>
      </w:r>
      <w:r w:rsidRPr="00483F2B" w:rsidR="00282F70">
        <w:rPr>
          <w:sz w:val="20"/>
          <w:szCs w:val="20"/>
        </w:rPr>
        <w:t xml:space="preserve">required </w:t>
      </w:r>
      <w:r w:rsidRPr="00483F2B" w:rsidR="006C5AD7">
        <w:rPr>
          <w:sz w:val="20"/>
          <w:szCs w:val="20"/>
        </w:rPr>
        <w:t xml:space="preserve">conditions of the particular </w:t>
      </w:r>
      <w:r w:rsidR="00810FF2">
        <w:rPr>
          <w:sz w:val="20"/>
          <w:szCs w:val="20"/>
        </w:rPr>
        <w:t xml:space="preserve">IB </w:t>
      </w:r>
      <w:r w:rsidRPr="00483F2B" w:rsidR="006C5AD7">
        <w:rPr>
          <w:sz w:val="20"/>
          <w:szCs w:val="20"/>
        </w:rPr>
        <w:t xml:space="preserve">exception </w:t>
      </w:r>
      <w:r w:rsidR="00810FF2">
        <w:rPr>
          <w:sz w:val="20"/>
          <w:szCs w:val="20"/>
        </w:rPr>
        <w:t xml:space="preserve">other than the one discussed in the example, </w:t>
      </w:r>
      <w:r w:rsidRPr="00483F2B" w:rsidR="006C5AD7">
        <w:rPr>
          <w:sz w:val="20"/>
          <w:szCs w:val="20"/>
        </w:rPr>
        <w:t>including</w:t>
      </w:r>
      <w:r w:rsidRPr="00483F2B" w:rsidR="00282F70">
        <w:rPr>
          <w:sz w:val="20"/>
          <w:szCs w:val="20"/>
        </w:rPr>
        <w:t xml:space="preserve"> implementing the exception in a consistent and non-discriminatory manner and with</w:t>
      </w:r>
      <w:r w:rsidRPr="00483F2B" w:rsidR="006C5AD7">
        <w:rPr>
          <w:sz w:val="20"/>
          <w:szCs w:val="20"/>
        </w:rPr>
        <w:t xml:space="preserve"> required </w:t>
      </w:r>
      <w:r w:rsidRPr="00483F2B" w:rsidR="00282F70">
        <w:rPr>
          <w:sz w:val="20"/>
          <w:szCs w:val="20"/>
        </w:rPr>
        <w:t xml:space="preserve">written organizational </w:t>
      </w:r>
      <w:r w:rsidRPr="00483F2B" w:rsidR="006C5AD7">
        <w:rPr>
          <w:sz w:val="20"/>
          <w:szCs w:val="20"/>
        </w:rPr>
        <w:t xml:space="preserve">policies or </w:t>
      </w:r>
      <w:r w:rsidRPr="00483F2B" w:rsidR="00282F70">
        <w:rPr>
          <w:sz w:val="20"/>
          <w:szCs w:val="20"/>
        </w:rPr>
        <w:t>a determination made in each case based on the particular facts and circumstances,</w:t>
      </w:r>
      <w:r w:rsidRPr="00483F2B" w:rsidR="004D27FB">
        <w:rPr>
          <w:sz w:val="20"/>
          <w:szCs w:val="20"/>
        </w:rPr>
        <w:t xml:space="preserve"> and completing any required documentation and communications in the specified time period,</w:t>
      </w:r>
      <w:r w:rsidRPr="00483F2B" w:rsidR="00282F70">
        <w:rPr>
          <w:sz w:val="20"/>
          <w:szCs w:val="20"/>
        </w:rPr>
        <w:t xml:space="preserve"> as </w:t>
      </w:r>
      <w:r w:rsidRPr="00483F2B" w:rsidR="004D27FB">
        <w:rPr>
          <w:sz w:val="20"/>
          <w:szCs w:val="20"/>
        </w:rPr>
        <w:t xml:space="preserve">may be </w:t>
      </w:r>
      <w:r w:rsidRPr="00483F2B" w:rsidR="006C5AD7">
        <w:rPr>
          <w:sz w:val="20"/>
          <w:szCs w:val="20"/>
        </w:rPr>
        <w:t>applicable</w:t>
      </w:r>
      <w:r w:rsidRPr="00483F2B" w:rsidR="00282F70">
        <w:rPr>
          <w:sz w:val="20"/>
          <w:szCs w:val="20"/>
        </w:rPr>
        <w:t>.</w:t>
      </w:r>
    </w:p>
    <w:p w:rsidRPr="00483F2B" w:rsidR="002C18EA" w:rsidP="11884649" w:rsidRDefault="002C18EA" w14:paraId="6E14B414" w14:textId="047CC6BF">
      <w:pPr>
        <w:pStyle w:val="Normal"/>
      </w:pPr>
    </w:p>
    <w:p w:rsidRPr="00483F2B" w:rsidR="002C18EA" w:rsidP="002C18EA" w:rsidRDefault="002C18EA" w14:paraId="2B4D5010" w14:textId="00E7CBC6">
      <w:pPr>
        <w:rPr>
          <w:sz w:val="20"/>
          <w:szCs w:val="20"/>
        </w:rPr>
      </w:pPr>
      <w:r w:rsidRPr="00483F2B">
        <w:rPr>
          <w:sz w:val="20"/>
          <w:szCs w:val="20"/>
        </w:rPr>
        <w:t xml:space="preserve">Example 1: Preventing harm. You are a licensed medical practitioner and your minor patient’s father requests electronic access via his proxy access to his daughter’s patient portal account to the visit notes for a recent visit where you provided reproductive health services to the patient. As a matter of practice, you do not publish visit notes </w:t>
      </w:r>
      <w:r w:rsidRPr="00483F2B" w:rsidR="006C5AD7">
        <w:rPr>
          <w:sz w:val="20"/>
          <w:szCs w:val="20"/>
        </w:rPr>
        <w:t xml:space="preserve">to the patient portal </w:t>
      </w:r>
      <w:r w:rsidRPr="00483F2B">
        <w:rPr>
          <w:sz w:val="20"/>
          <w:szCs w:val="20"/>
        </w:rPr>
        <w:t>for certain reproductive health services for minors unless the patient agrees</w:t>
      </w:r>
      <w:proofErr w:type="gramStart"/>
      <w:r w:rsidRPr="00483F2B">
        <w:rPr>
          <w:sz w:val="20"/>
          <w:szCs w:val="20"/>
        </w:rPr>
        <w:t xml:space="preserve">.  </w:t>
      </w:r>
      <w:proofErr w:type="gramEnd"/>
      <w:r w:rsidRPr="00483F2B">
        <w:rPr>
          <w:sz w:val="20"/>
          <w:szCs w:val="20"/>
        </w:rPr>
        <w:t>You know the patient has a very volatile relationship with her father and is afraid of what her father might do if he knew about the details of the visit</w:t>
      </w:r>
      <w:proofErr w:type="gramStart"/>
      <w:r w:rsidRPr="00483F2B">
        <w:rPr>
          <w:sz w:val="20"/>
          <w:szCs w:val="20"/>
        </w:rPr>
        <w:t xml:space="preserve">.  </w:t>
      </w:r>
      <w:proofErr w:type="gramEnd"/>
      <w:r w:rsidRPr="00483F2B">
        <w:rPr>
          <w:sz w:val="20"/>
          <w:szCs w:val="20"/>
        </w:rPr>
        <w:t>You make an individualized determination</w:t>
      </w:r>
      <w:r w:rsidRPr="00483F2B" w:rsidR="006C5AD7">
        <w:rPr>
          <w:sz w:val="20"/>
          <w:szCs w:val="20"/>
        </w:rPr>
        <w:t xml:space="preserve"> using your professional judgement</w:t>
      </w:r>
      <w:r w:rsidRPr="00483F2B">
        <w:rPr>
          <w:sz w:val="20"/>
          <w:szCs w:val="20"/>
        </w:rPr>
        <w:t xml:space="preserve"> that your patient is at risk of substantial harm and have reasonable belief that withholding the information from the father will </w:t>
      </w:r>
      <w:proofErr w:type="gramStart"/>
      <w:r w:rsidRPr="00483F2B">
        <w:rPr>
          <w:sz w:val="20"/>
          <w:szCs w:val="20"/>
        </w:rPr>
        <w:t>substantially reduce</w:t>
      </w:r>
      <w:proofErr w:type="gramEnd"/>
      <w:r w:rsidRPr="00483F2B">
        <w:rPr>
          <w:sz w:val="20"/>
          <w:szCs w:val="20"/>
        </w:rPr>
        <w:t xml:space="preserve"> the risk of harm. You document this decision in writing in the patient’s chart and notify the father in writing you are not able to provide </w:t>
      </w:r>
      <w:r w:rsidRPr="00483F2B" w:rsidR="0065116F">
        <w:rPr>
          <w:sz w:val="20"/>
          <w:szCs w:val="20"/>
        </w:rPr>
        <w:t>him with</w:t>
      </w:r>
      <w:r w:rsidRPr="00483F2B">
        <w:rPr>
          <w:sz w:val="20"/>
          <w:szCs w:val="20"/>
        </w:rPr>
        <w:t xml:space="preserve"> the information </w:t>
      </w:r>
      <w:proofErr w:type="gramStart"/>
      <w:r w:rsidRPr="00483F2B" w:rsidR="006C5AD7">
        <w:rPr>
          <w:sz w:val="20"/>
          <w:szCs w:val="20"/>
        </w:rPr>
        <w:t xml:space="preserve">in order </w:t>
      </w:r>
      <w:r w:rsidRPr="00483F2B">
        <w:rPr>
          <w:sz w:val="20"/>
          <w:szCs w:val="20"/>
        </w:rPr>
        <w:t>to</w:t>
      </w:r>
      <w:proofErr w:type="gramEnd"/>
      <w:r w:rsidRPr="00483F2B">
        <w:rPr>
          <w:sz w:val="20"/>
          <w:szCs w:val="20"/>
        </w:rPr>
        <w:t xml:space="preserve"> respect your patient’s right to privacy. Note that the HIPAA substantial harm standard includes – physical, emotional, and psychological harm.</w:t>
      </w:r>
    </w:p>
    <w:p w:rsidRPr="00483F2B" w:rsidR="002C18EA" w:rsidP="002C18EA" w:rsidRDefault="002C18EA" w14:paraId="500545C3" w14:textId="77777777">
      <w:pPr>
        <w:rPr>
          <w:sz w:val="20"/>
          <w:szCs w:val="20"/>
        </w:rPr>
      </w:pPr>
    </w:p>
    <w:p w:rsidRPr="00483F2B" w:rsidR="002C18EA" w:rsidP="002C18EA" w:rsidRDefault="002C18EA" w14:paraId="75521C68" w14:textId="3A9469F4">
      <w:pPr>
        <w:rPr>
          <w:sz w:val="20"/>
          <w:szCs w:val="20"/>
        </w:rPr>
      </w:pPr>
      <w:r w:rsidRPr="11884649" w:rsidR="002C18EA">
        <w:rPr>
          <w:sz w:val="20"/>
          <w:szCs w:val="20"/>
        </w:rPr>
        <w:t>Example 2: Privacy – Precondition not satisfied. One of your patients in your multi-specialty practice moved out of the area and decide</w:t>
      </w:r>
      <w:r w:rsidRPr="11884649" w:rsidR="2184ADDF">
        <w:rPr>
          <w:sz w:val="20"/>
          <w:szCs w:val="20"/>
        </w:rPr>
        <w:t>d</w:t>
      </w:r>
      <w:r w:rsidRPr="11884649" w:rsidR="002C18EA">
        <w:rPr>
          <w:sz w:val="20"/>
          <w:szCs w:val="20"/>
        </w:rPr>
        <w:t xml:space="preserve"> to see a provider near her new residence. All her records are electronic. The new provider, also in a multi-specialty </w:t>
      </w:r>
      <w:r w:rsidRPr="11884649" w:rsidR="0065116F">
        <w:rPr>
          <w:sz w:val="20"/>
          <w:szCs w:val="20"/>
        </w:rPr>
        <w:t>practice,</w:t>
      </w:r>
      <w:r w:rsidRPr="11884649" w:rsidR="002C18EA">
        <w:rPr>
          <w:sz w:val="20"/>
          <w:szCs w:val="20"/>
        </w:rPr>
        <w:t xml:space="preserve"> requests her entire electronic medical record including any behavioral health records since his clinic integrates </w:t>
      </w:r>
      <w:r w:rsidRPr="11884649" w:rsidR="0065116F">
        <w:rPr>
          <w:sz w:val="20"/>
          <w:szCs w:val="20"/>
        </w:rPr>
        <w:t>behavioral</w:t>
      </w:r>
      <w:r w:rsidRPr="11884649" w:rsidR="002C18EA">
        <w:rPr>
          <w:sz w:val="20"/>
          <w:szCs w:val="20"/>
        </w:rPr>
        <w:t xml:space="preserve"> health services within his practice. HIPAA does not require patient consent to share records for treatment purposes, but your state law does for behavioral health records, and your patient declines to </w:t>
      </w:r>
      <w:r w:rsidRPr="11884649" w:rsidR="002C18EA">
        <w:rPr>
          <w:sz w:val="20"/>
          <w:szCs w:val="20"/>
        </w:rPr>
        <w:t>provide</w:t>
      </w:r>
      <w:r w:rsidRPr="11884649" w:rsidR="002C18EA">
        <w:rPr>
          <w:sz w:val="20"/>
          <w:szCs w:val="20"/>
        </w:rPr>
        <w:t xml:space="preserve"> her consent. You can decline to send the behavior health records and apply the IB Privacy </w:t>
      </w:r>
      <w:r w:rsidRPr="11884649" w:rsidR="1A4B40E8">
        <w:rPr>
          <w:sz w:val="20"/>
          <w:szCs w:val="20"/>
        </w:rPr>
        <w:t>sub</w:t>
      </w:r>
      <w:r w:rsidRPr="11884649" w:rsidR="5CCE21DF">
        <w:rPr>
          <w:sz w:val="20"/>
          <w:szCs w:val="20"/>
        </w:rPr>
        <w:t>-</w:t>
      </w:r>
      <w:r w:rsidRPr="11884649" w:rsidR="1A4B40E8">
        <w:rPr>
          <w:sz w:val="20"/>
          <w:szCs w:val="20"/>
        </w:rPr>
        <w:t>exception</w:t>
      </w:r>
      <w:r w:rsidRPr="11884649" w:rsidR="002C18EA">
        <w:rPr>
          <w:sz w:val="20"/>
          <w:szCs w:val="20"/>
        </w:rPr>
        <w:t xml:space="preserve"> “Precondition not satisfied.” You document this in the patient’s chart. Your medical records staff </w:t>
      </w:r>
      <w:r w:rsidRPr="11884649" w:rsidR="002C18EA">
        <w:rPr>
          <w:sz w:val="20"/>
          <w:szCs w:val="20"/>
        </w:rPr>
        <w:t>transmit</w:t>
      </w:r>
      <w:r w:rsidRPr="11884649" w:rsidR="0D5AA0C2">
        <w:rPr>
          <w:sz w:val="20"/>
          <w:szCs w:val="20"/>
        </w:rPr>
        <w:t>s</w:t>
      </w:r>
      <w:r w:rsidRPr="11884649" w:rsidR="002C18EA">
        <w:rPr>
          <w:sz w:val="20"/>
          <w:szCs w:val="20"/>
        </w:rPr>
        <w:t xml:space="preserve"> the other records right away since your clinic is still required under the IB provisions to share these without delay</w:t>
      </w:r>
      <w:r w:rsidRPr="11884649" w:rsidR="002C18EA">
        <w:rPr>
          <w:sz w:val="20"/>
          <w:szCs w:val="20"/>
        </w:rPr>
        <w:t xml:space="preserve">.  </w:t>
      </w:r>
    </w:p>
    <w:p w:rsidRPr="00483F2B" w:rsidR="002C18EA" w:rsidP="002C18EA" w:rsidRDefault="002C18EA" w14:paraId="6A18C86D" w14:textId="77777777">
      <w:pPr>
        <w:rPr>
          <w:sz w:val="20"/>
          <w:szCs w:val="20"/>
        </w:rPr>
      </w:pPr>
      <w:r w:rsidRPr="00483F2B">
        <w:rPr>
          <w:sz w:val="20"/>
          <w:szCs w:val="20"/>
        </w:rPr>
        <w:t xml:space="preserve">   </w:t>
      </w:r>
    </w:p>
    <w:p w:rsidRPr="00483F2B" w:rsidR="002C18EA" w:rsidP="002C18EA" w:rsidRDefault="002C18EA" w14:paraId="53CDE72C" w14:textId="4295959D">
      <w:pPr>
        <w:rPr>
          <w:sz w:val="20"/>
          <w:szCs w:val="20"/>
        </w:rPr>
      </w:pPr>
      <w:r w:rsidRPr="11884649" w:rsidR="002C18EA">
        <w:rPr>
          <w:sz w:val="20"/>
          <w:szCs w:val="20"/>
        </w:rPr>
        <w:t xml:space="preserve">Example 3: Privacy – Respecting an individual’s request not to share. Your patient wants to give her husband proxy access to her patient portal account but does not want him to know she had an abortion prior to their marriage. If you </w:t>
      </w:r>
      <w:r w:rsidRPr="11884649" w:rsidR="002C18EA">
        <w:rPr>
          <w:sz w:val="20"/>
          <w:szCs w:val="20"/>
        </w:rPr>
        <w:t>are able to</w:t>
      </w:r>
      <w:r w:rsidRPr="11884649" w:rsidR="002C18EA">
        <w:rPr>
          <w:sz w:val="20"/>
          <w:szCs w:val="20"/>
        </w:rPr>
        <w:t xml:space="preserve"> segment/restrict and flag this EHI as sensitive in your EHR system so it does not get published to the patient portal, you can meet the privacy </w:t>
      </w:r>
      <w:r w:rsidRPr="11884649" w:rsidR="318CA6A8">
        <w:rPr>
          <w:sz w:val="20"/>
          <w:szCs w:val="20"/>
        </w:rPr>
        <w:t>sub-exception</w:t>
      </w:r>
      <w:r w:rsidRPr="11884649" w:rsidR="002C18EA">
        <w:rPr>
          <w:sz w:val="20"/>
          <w:szCs w:val="20"/>
        </w:rPr>
        <w:t xml:space="preserve"> “Respecting an individual’s request not to share” and not share the information</w:t>
      </w:r>
      <w:r w:rsidRPr="11884649" w:rsidR="002C18EA">
        <w:rPr>
          <w:sz w:val="20"/>
          <w:szCs w:val="20"/>
        </w:rPr>
        <w:t xml:space="preserve">.  </w:t>
      </w:r>
      <w:r w:rsidRPr="11884649" w:rsidR="002C18EA">
        <w:rPr>
          <w:sz w:val="20"/>
          <w:szCs w:val="20"/>
        </w:rPr>
        <w:t xml:space="preserve">If you are not able to segment this information electronically, you would need to advise your patient so she can decide whether she still wants to give her husband proxy access to her portal account. </w:t>
      </w:r>
    </w:p>
    <w:p w:rsidRPr="00483F2B" w:rsidR="002C18EA" w:rsidP="002C18EA" w:rsidRDefault="002C18EA" w14:paraId="1D2A5A34" w14:textId="77777777">
      <w:pPr>
        <w:rPr>
          <w:sz w:val="20"/>
          <w:szCs w:val="20"/>
        </w:rPr>
      </w:pPr>
    </w:p>
    <w:p w:rsidRPr="00483F2B" w:rsidR="002C18EA" w:rsidP="002C18EA" w:rsidRDefault="002C18EA" w14:paraId="7CD340D9" w14:textId="01BDDFCF">
      <w:pPr>
        <w:rPr>
          <w:sz w:val="20"/>
          <w:szCs w:val="20"/>
        </w:rPr>
      </w:pPr>
      <w:r w:rsidRPr="11884649" w:rsidR="002C18EA">
        <w:rPr>
          <w:sz w:val="20"/>
          <w:szCs w:val="20"/>
        </w:rPr>
        <w:t>Example 4:</w:t>
      </w:r>
      <w:r w:rsidRPr="11884649" w:rsidR="000D2164">
        <w:rPr>
          <w:sz w:val="20"/>
          <w:szCs w:val="20"/>
        </w:rPr>
        <w:t xml:space="preserve"> Privacy. </w:t>
      </w:r>
      <w:r w:rsidRPr="11884649" w:rsidR="002C18EA">
        <w:rPr>
          <w:sz w:val="20"/>
          <w:szCs w:val="20"/>
        </w:rPr>
        <w:t>Two of your clinic’s adult patients are siblings</w:t>
      </w:r>
      <w:r w:rsidRPr="11884649" w:rsidR="002C18EA">
        <w:rPr>
          <w:sz w:val="20"/>
          <w:szCs w:val="20"/>
        </w:rPr>
        <w:t xml:space="preserve">.  </w:t>
      </w:r>
      <w:r w:rsidRPr="11884649" w:rsidR="002C18EA">
        <w:rPr>
          <w:sz w:val="20"/>
          <w:szCs w:val="20"/>
        </w:rPr>
        <w:t xml:space="preserve">One of the siblings had genetic testing and has a rare genetic disorder </w:t>
      </w:r>
      <w:r w:rsidRPr="11884649" w:rsidR="006C5AD7">
        <w:rPr>
          <w:sz w:val="20"/>
          <w:szCs w:val="20"/>
        </w:rPr>
        <w:t xml:space="preserve">requiring treatment </w:t>
      </w:r>
      <w:r w:rsidRPr="11884649" w:rsidR="002C18EA">
        <w:rPr>
          <w:sz w:val="20"/>
          <w:szCs w:val="20"/>
        </w:rPr>
        <w:t>but has not shared this information</w:t>
      </w:r>
      <w:r w:rsidRPr="11884649" w:rsidR="006C5AD7">
        <w:rPr>
          <w:sz w:val="20"/>
          <w:szCs w:val="20"/>
        </w:rPr>
        <w:t xml:space="preserve"> with family members</w:t>
      </w:r>
      <w:r w:rsidRPr="11884649" w:rsidR="002C18EA">
        <w:rPr>
          <w:sz w:val="20"/>
          <w:szCs w:val="20"/>
        </w:rPr>
        <w:t xml:space="preserve">.  </w:t>
      </w:r>
      <w:r w:rsidRPr="11884649" w:rsidR="002C18EA">
        <w:rPr>
          <w:sz w:val="20"/>
          <w:szCs w:val="20"/>
        </w:rPr>
        <w:t>It is possible the other sibling may have the same disorder and need treatment but has not had any testing done</w:t>
      </w:r>
      <w:r w:rsidRPr="11884649" w:rsidR="002C18EA">
        <w:rPr>
          <w:sz w:val="20"/>
          <w:szCs w:val="20"/>
        </w:rPr>
        <w:t xml:space="preserve">.  </w:t>
      </w:r>
      <w:r w:rsidRPr="11884649" w:rsidR="002C18EA">
        <w:rPr>
          <w:sz w:val="20"/>
          <w:szCs w:val="20"/>
        </w:rPr>
        <w:t xml:space="preserve">The sibling with the disorder has </w:t>
      </w:r>
      <w:r w:rsidRPr="11884649" w:rsidR="002C18EA">
        <w:rPr>
          <w:sz w:val="20"/>
          <w:szCs w:val="20"/>
        </w:rPr>
        <w:t>requested</w:t>
      </w:r>
      <w:r w:rsidRPr="11884649" w:rsidR="002C18EA">
        <w:rPr>
          <w:sz w:val="20"/>
          <w:szCs w:val="20"/>
        </w:rPr>
        <w:t xml:space="preserve"> that her diagnosis be kept private and requests that the information is not shared with her sibling</w:t>
      </w:r>
      <w:r w:rsidRPr="11884649" w:rsidR="002C18EA">
        <w:rPr>
          <w:sz w:val="20"/>
          <w:szCs w:val="20"/>
        </w:rPr>
        <w:t xml:space="preserve">.  </w:t>
      </w:r>
      <w:r w:rsidRPr="11884649" w:rsidR="002C18EA">
        <w:rPr>
          <w:sz w:val="20"/>
          <w:szCs w:val="20"/>
        </w:rPr>
        <w:t xml:space="preserve">You </w:t>
      </w:r>
      <w:r w:rsidRPr="11884649" w:rsidR="002C18EA">
        <w:rPr>
          <w:sz w:val="20"/>
          <w:szCs w:val="20"/>
        </w:rPr>
        <w:t>are able to</w:t>
      </w:r>
      <w:r w:rsidRPr="11884649" w:rsidR="002C18EA">
        <w:rPr>
          <w:sz w:val="20"/>
          <w:szCs w:val="20"/>
        </w:rPr>
        <w:t xml:space="preserve"> restrict this information in the EHR so it is not released to the other sibling or others without </w:t>
      </w:r>
      <w:r w:rsidRPr="11884649" w:rsidR="1E09367C">
        <w:rPr>
          <w:sz w:val="20"/>
          <w:szCs w:val="20"/>
        </w:rPr>
        <w:t xml:space="preserve">the </w:t>
      </w:r>
      <w:r w:rsidRPr="11884649" w:rsidR="002C18EA">
        <w:rPr>
          <w:sz w:val="20"/>
          <w:szCs w:val="20"/>
        </w:rPr>
        <w:t>patient</w:t>
      </w:r>
      <w:r w:rsidRPr="11884649" w:rsidR="507CFD45">
        <w:rPr>
          <w:sz w:val="20"/>
          <w:szCs w:val="20"/>
        </w:rPr>
        <w:t>'s</w:t>
      </w:r>
      <w:r w:rsidRPr="11884649" w:rsidR="002C18EA">
        <w:rPr>
          <w:sz w:val="20"/>
          <w:szCs w:val="20"/>
        </w:rPr>
        <w:t xml:space="preserve"> consent and explain to your patient why </w:t>
      </w:r>
      <w:r w:rsidRPr="11884649" w:rsidR="006C5AD7">
        <w:rPr>
          <w:sz w:val="20"/>
          <w:szCs w:val="20"/>
        </w:rPr>
        <w:t xml:space="preserve">it would be important to </w:t>
      </w:r>
      <w:r w:rsidRPr="11884649" w:rsidR="002C18EA">
        <w:rPr>
          <w:sz w:val="20"/>
          <w:szCs w:val="20"/>
        </w:rPr>
        <w:t xml:space="preserve">consider sharing the information with her </w:t>
      </w:r>
      <w:r w:rsidRPr="11884649" w:rsidR="002C18EA">
        <w:rPr>
          <w:sz w:val="20"/>
          <w:szCs w:val="20"/>
        </w:rPr>
        <w:t>sibling.</w:t>
      </w:r>
      <w:r w:rsidRPr="11884649" w:rsidR="002C18EA">
        <w:rPr>
          <w:sz w:val="20"/>
          <w:szCs w:val="20"/>
        </w:rPr>
        <w:t xml:space="preserve">  You would meet the privacy </w:t>
      </w:r>
      <w:r w:rsidRPr="11884649" w:rsidR="379335A3">
        <w:rPr>
          <w:sz w:val="20"/>
          <w:szCs w:val="20"/>
        </w:rPr>
        <w:t>sub</w:t>
      </w:r>
      <w:r w:rsidRPr="11884649" w:rsidR="557004CA">
        <w:rPr>
          <w:sz w:val="20"/>
          <w:szCs w:val="20"/>
        </w:rPr>
        <w:t>-</w:t>
      </w:r>
      <w:r w:rsidRPr="11884649" w:rsidR="379335A3">
        <w:rPr>
          <w:sz w:val="20"/>
          <w:szCs w:val="20"/>
        </w:rPr>
        <w:t>exception</w:t>
      </w:r>
      <w:r w:rsidRPr="11884649" w:rsidR="002C18EA">
        <w:rPr>
          <w:sz w:val="20"/>
          <w:szCs w:val="20"/>
        </w:rPr>
        <w:t xml:space="preserve"> “Respecting an individual’s request not to share” </w:t>
      </w:r>
      <w:r w:rsidRPr="11884649" w:rsidR="2826A623">
        <w:rPr>
          <w:sz w:val="20"/>
          <w:szCs w:val="20"/>
        </w:rPr>
        <w:t>and</w:t>
      </w:r>
      <w:r w:rsidRPr="11884649" w:rsidR="002C18EA">
        <w:rPr>
          <w:sz w:val="20"/>
          <w:szCs w:val="20"/>
        </w:rPr>
        <w:t xml:space="preserve"> </w:t>
      </w:r>
      <w:r w:rsidRPr="11884649" w:rsidR="002C18EA">
        <w:rPr>
          <w:sz w:val="20"/>
          <w:szCs w:val="20"/>
        </w:rPr>
        <w:t>possibly the</w:t>
      </w:r>
      <w:r w:rsidRPr="11884649" w:rsidR="002C18EA">
        <w:rPr>
          <w:sz w:val="20"/>
          <w:szCs w:val="20"/>
        </w:rPr>
        <w:t xml:space="preserve"> </w:t>
      </w:r>
      <w:r w:rsidRPr="11884649" w:rsidR="399E28D2">
        <w:rPr>
          <w:sz w:val="20"/>
          <w:szCs w:val="20"/>
        </w:rPr>
        <w:t>sub</w:t>
      </w:r>
      <w:r w:rsidRPr="11884649" w:rsidR="1449ACCB">
        <w:rPr>
          <w:sz w:val="20"/>
          <w:szCs w:val="20"/>
        </w:rPr>
        <w:t>-</w:t>
      </w:r>
      <w:r w:rsidRPr="11884649" w:rsidR="399E28D2">
        <w:rPr>
          <w:sz w:val="20"/>
          <w:szCs w:val="20"/>
        </w:rPr>
        <w:t>exception</w:t>
      </w:r>
      <w:r w:rsidRPr="11884649" w:rsidR="002C18EA">
        <w:rPr>
          <w:sz w:val="20"/>
          <w:szCs w:val="20"/>
        </w:rPr>
        <w:t xml:space="preserve"> “Precondition not satisfied” if</w:t>
      </w:r>
      <w:r w:rsidRPr="11884649" w:rsidR="002C18EA">
        <w:rPr>
          <w:sz w:val="20"/>
          <w:szCs w:val="20"/>
        </w:rPr>
        <w:t xml:space="preserve"> your state law prohibits </w:t>
      </w:r>
      <w:r w:rsidRPr="11884649" w:rsidR="002C18EA">
        <w:rPr>
          <w:sz w:val="20"/>
          <w:szCs w:val="20"/>
        </w:rPr>
        <w:t>disclosing</w:t>
      </w:r>
      <w:r w:rsidRPr="11884649" w:rsidR="002C18EA">
        <w:rPr>
          <w:sz w:val="20"/>
          <w:szCs w:val="20"/>
        </w:rPr>
        <w:t xml:space="preserve"> genetic test results without patient consent.</w:t>
      </w:r>
    </w:p>
    <w:p w:rsidRPr="00483F2B" w:rsidR="002C18EA" w:rsidP="002C18EA" w:rsidRDefault="002C18EA" w14:paraId="4F6BBB5E" w14:textId="77777777">
      <w:pPr>
        <w:rPr>
          <w:sz w:val="20"/>
          <w:szCs w:val="20"/>
        </w:rPr>
      </w:pPr>
    </w:p>
    <w:p w:rsidRPr="00483F2B" w:rsidR="002C18EA" w:rsidP="002C18EA" w:rsidRDefault="002C18EA" w14:paraId="72FFECC5" w14:textId="17DF3F25">
      <w:pPr>
        <w:rPr>
          <w:sz w:val="20"/>
          <w:szCs w:val="20"/>
        </w:rPr>
      </w:pPr>
      <w:r w:rsidRPr="11884649" w:rsidR="002C18EA">
        <w:rPr>
          <w:sz w:val="20"/>
          <w:szCs w:val="20"/>
        </w:rPr>
        <w:t xml:space="preserve">Example 5: </w:t>
      </w:r>
      <w:r w:rsidRPr="11884649" w:rsidR="1527AB99">
        <w:rPr>
          <w:sz w:val="20"/>
          <w:szCs w:val="20"/>
        </w:rPr>
        <w:t>Infeasibility</w:t>
      </w:r>
      <w:r w:rsidRPr="11884649" w:rsidR="002C18EA">
        <w:rPr>
          <w:sz w:val="20"/>
          <w:szCs w:val="20"/>
        </w:rPr>
        <w:t xml:space="preserve"> – Segmentation. Your state law allows minors to receive certain confidential services and providers may not </w:t>
      </w:r>
      <w:r w:rsidRPr="11884649" w:rsidR="002C18EA">
        <w:rPr>
          <w:sz w:val="20"/>
          <w:szCs w:val="20"/>
        </w:rPr>
        <w:t>disclose</w:t>
      </w:r>
      <w:r w:rsidRPr="11884649" w:rsidR="002C18EA">
        <w:rPr>
          <w:sz w:val="20"/>
          <w:szCs w:val="20"/>
        </w:rPr>
        <w:t xml:space="preserve"> medical information or records about those services without the patient’s consent, even to </w:t>
      </w:r>
      <w:r w:rsidRPr="11884649" w:rsidR="006C5AD7">
        <w:rPr>
          <w:sz w:val="20"/>
          <w:szCs w:val="20"/>
        </w:rPr>
        <w:t xml:space="preserve">the </w:t>
      </w:r>
      <w:r w:rsidRPr="11884649" w:rsidR="002C18EA">
        <w:rPr>
          <w:sz w:val="20"/>
          <w:szCs w:val="20"/>
        </w:rPr>
        <w:t>parents</w:t>
      </w:r>
      <w:r w:rsidRPr="11884649" w:rsidR="002C18EA">
        <w:rPr>
          <w:sz w:val="20"/>
          <w:szCs w:val="20"/>
        </w:rPr>
        <w:t xml:space="preserve">.  </w:t>
      </w:r>
      <w:r w:rsidRPr="11884649" w:rsidR="002C18EA">
        <w:rPr>
          <w:sz w:val="20"/>
          <w:szCs w:val="20"/>
        </w:rPr>
        <w:t>The parent of one of your adolescent patient’s wants proxy access to her patient portal account; however, you do not have a way to technically segment the information the adolescent is able to keep private and wants to keep private from her parents</w:t>
      </w:r>
      <w:r w:rsidRPr="11884649" w:rsidR="002C18EA">
        <w:rPr>
          <w:sz w:val="20"/>
          <w:szCs w:val="20"/>
        </w:rPr>
        <w:t>.</w:t>
      </w:r>
      <w:r w:rsidRPr="11884649" w:rsidR="002C18EA">
        <w:rPr>
          <w:sz w:val="20"/>
          <w:szCs w:val="20"/>
        </w:rPr>
        <w:t xml:space="preserve">  </w:t>
      </w:r>
      <w:r w:rsidRPr="11884649" w:rsidR="002C18EA">
        <w:rPr>
          <w:sz w:val="20"/>
          <w:szCs w:val="20"/>
        </w:rPr>
        <w:t xml:space="preserve">You can meet the infeasibility exception to deny electronic access by </w:t>
      </w:r>
      <w:r w:rsidRPr="11884649" w:rsidR="002C18EA">
        <w:rPr>
          <w:sz w:val="20"/>
          <w:szCs w:val="20"/>
        </w:rPr>
        <w:t>providing</w:t>
      </w:r>
      <w:r w:rsidRPr="11884649" w:rsidR="002C18EA">
        <w:rPr>
          <w:sz w:val="20"/>
          <w:szCs w:val="20"/>
        </w:rPr>
        <w:t xml:space="preserve"> a written response to the parent’s request within </w:t>
      </w:r>
      <w:r w:rsidRPr="11884649" w:rsidR="002C18EA">
        <w:rPr>
          <w:sz w:val="20"/>
          <w:szCs w:val="20"/>
        </w:rPr>
        <w:t>10 days</w:t>
      </w:r>
      <w:r w:rsidRPr="11884649" w:rsidR="002C18EA">
        <w:rPr>
          <w:sz w:val="20"/>
          <w:szCs w:val="20"/>
        </w:rPr>
        <w:t xml:space="preserve"> of receiving the request to explain why it is infeasible to </w:t>
      </w:r>
      <w:r w:rsidRPr="11884649" w:rsidR="002C18EA">
        <w:rPr>
          <w:sz w:val="20"/>
          <w:szCs w:val="20"/>
        </w:rPr>
        <w:t>provide</w:t>
      </w:r>
      <w:r w:rsidRPr="11884649" w:rsidR="002C18EA">
        <w:rPr>
          <w:sz w:val="20"/>
          <w:szCs w:val="20"/>
        </w:rPr>
        <w:t xml:space="preserve"> proxy access to the portal account</w:t>
      </w:r>
      <w:r w:rsidRPr="11884649" w:rsidR="002C18EA">
        <w:rPr>
          <w:sz w:val="20"/>
          <w:szCs w:val="20"/>
        </w:rPr>
        <w:t xml:space="preserve">.  </w:t>
      </w:r>
      <w:r w:rsidRPr="11884649" w:rsidR="002C18EA">
        <w:rPr>
          <w:sz w:val="20"/>
          <w:szCs w:val="20"/>
        </w:rPr>
        <w:t xml:space="preserve">You also should inform the parent you can provide paper or PDF copies of the medical information you are </w:t>
      </w:r>
      <w:r w:rsidRPr="11884649" w:rsidR="002C18EA">
        <w:rPr>
          <w:sz w:val="20"/>
          <w:szCs w:val="20"/>
        </w:rPr>
        <w:t>permitted</w:t>
      </w:r>
      <w:r w:rsidRPr="11884649" w:rsidR="002C18EA">
        <w:rPr>
          <w:sz w:val="20"/>
          <w:szCs w:val="20"/>
        </w:rPr>
        <w:t xml:space="preserve"> to share with the </w:t>
      </w:r>
      <w:r w:rsidRPr="11884649" w:rsidR="002C18EA">
        <w:rPr>
          <w:sz w:val="20"/>
          <w:szCs w:val="20"/>
        </w:rPr>
        <w:t>private information</w:t>
      </w:r>
      <w:r w:rsidRPr="11884649" w:rsidR="002C18EA">
        <w:rPr>
          <w:sz w:val="20"/>
          <w:szCs w:val="20"/>
        </w:rPr>
        <w:t xml:space="preserve"> redacted but not electronically though the patient portal. You provide the parent a request form to fill out for your medical records staff to fulfill the request </w:t>
      </w:r>
      <w:r w:rsidRPr="11884649" w:rsidR="002C18EA">
        <w:rPr>
          <w:sz w:val="20"/>
          <w:szCs w:val="20"/>
        </w:rPr>
        <w:t>in accordance with</w:t>
      </w:r>
      <w:r w:rsidRPr="11884649" w:rsidR="002C18EA">
        <w:rPr>
          <w:sz w:val="20"/>
          <w:szCs w:val="20"/>
        </w:rPr>
        <w:t xml:space="preserve"> HIPAA, including information on fees that would apply, if any.</w:t>
      </w:r>
    </w:p>
    <w:p w:rsidRPr="00483F2B" w:rsidR="002C18EA" w:rsidP="11884649" w:rsidRDefault="002C18EA" w14:paraId="6067EC04" w14:textId="045EA7AD">
      <w:pPr>
        <w:pStyle w:val="Normal"/>
        <w:rPr>
          <w:sz w:val="20"/>
          <w:szCs w:val="20"/>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0C1EE738" wp14:editId="23C55013">
                <wp:extent xmlns:wp="http://schemas.openxmlformats.org/drawingml/2006/wordprocessingDrawing" cx="2377440" cy="1538605"/>
                <wp:effectExtent xmlns:wp="http://schemas.openxmlformats.org/drawingml/2006/wordprocessingDrawing" l="0" t="0" r="22860" b="23495"/>
                <wp:docPr xmlns:wp="http://schemas.openxmlformats.org/drawingml/2006/wordprocessingDrawing" id="645515452"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1538605"/>
                        </a:xfrm>
                        <a:prstGeom prst="rect">
                          <a:avLst/>
                        </a:prstGeom>
                        <a:solidFill>
                          <a:srgbClr val="FFFFFF"/>
                        </a:solidFill>
                        <a:ln w="9525">
                          <a:solidFill>
                            <a:srgbClr val="000000"/>
                          </a:solidFill>
                          <a:miter lim="800000"/>
                          <a:headEnd/>
                          <a:tailEnd/>
                        </a:ln>
                      </wps:spPr>
                      <wps:txbx>
                        <w:txbxContent xmlns:w="http://schemas.openxmlformats.org/wordprocessingml/2006/main">
                          <w:p w:rsidR="00810FF2" w:rsidP="00810FF2" w:rsidRDefault="00810FF2">
                            <w:r w:rsidRPr="00810FF2">
                              <w:rPr>
                                <w:sz w:val="16"/>
                                <w:szCs w:val="16"/>
                              </w:rPr>
                              <w:t>This document is for informational purposes only. It is not intended as medical, legal, or consulting advice, or as a substitute</w:t>
                            </w:r>
                            <w:r>
                              <w:rPr>
                                <w:sz w:val="16"/>
                                <w:szCs w:val="16"/>
                              </w:rPr>
                              <w:t xml:space="preserve"> </w:t>
                            </w:r>
                            <w:r w:rsidRPr="00810FF2">
                              <w:rPr>
                                <w:sz w:val="16"/>
                                <w:szCs w:val="16"/>
                              </w:rPr>
                              <w:t>for the advice of a physician, attorney, or other professional. It does not address all possible legal and other issues that may</w:t>
                            </w:r>
                            <w:r>
                              <w:rPr>
                                <w:sz w:val="16"/>
                                <w:szCs w:val="16"/>
                              </w:rPr>
                              <w:t xml:space="preserve"> </w:t>
                            </w:r>
                            <w:r w:rsidRPr="00810FF2">
                              <w:rPr>
                                <w:sz w:val="16"/>
                                <w:szCs w:val="16"/>
                              </w:rPr>
                              <w:t>arise regarding information blocking and interoperability. Each health care provider organization will need to consider its</w:t>
                            </w:r>
                            <w:r>
                              <w:rPr>
                                <w:sz w:val="16"/>
                                <w:szCs w:val="16"/>
                              </w:rPr>
                              <w:t xml:space="preserve"> </w:t>
                            </w:r>
                            <w:r w:rsidRPr="00810FF2">
                              <w:rPr>
                                <w:sz w:val="16"/>
                                <w:szCs w:val="16"/>
                              </w:rPr>
                              <w:t>circumstances and requirements, which cannot be contemplated or addressed in this document.</w:t>
                            </w:r>
                          </w:p>
                        </w:txbxContent>
                      </wps:txbx>
                      <wps:bodyPr rot="0" vert="horz" wrap="square" lIns="91440" tIns="45720" rIns="91440" bIns="45720" anchor="t" anchorCtr="0">
                        <a:spAutoFit/>
                      </wps:bodyPr>
                    </wps:wsp>
                  </a:graphicData>
                </a:graphic>
              </wp:inline>
            </w:drawing>
          </mc:Choice>
          <mc:Fallback xmlns:a="http://schemas.openxmlformats.org/drawingml/2006/main" xmlns:mc="http://schemas.openxmlformats.org/markup-compatibility/2006"/>
        </mc:AlternateContent>
      </w:r>
    </w:p>
    <w:sectPr w:rsidRPr="00483F2B" w:rsidR="002C18EA" w:rsidSect="000854EC">
      <w:headerReference w:type="default" r:id="rId16"/>
      <w:footerReference w:type="default" r:id="rId17"/>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5934" w:rsidP="00C70C2A" w:rsidRDefault="00AF5934" w14:paraId="0976A4F7" w14:textId="77777777">
      <w:pPr>
        <w:spacing w:line="240" w:lineRule="auto"/>
      </w:pPr>
      <w:r>
        <w:separator/>
      </w:r>
    </w:p>
  </w:endnote>
  <w:endnote w:type="continuationSeparator" w:id="0">
    <w:p w:rsidR="00AF5934" w:rsidP="00C70C2A" w:rsidRDefault="00AF5934" w14:paraId="40DEE70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E13A0" w:rsidR="00C70C2A" w:rsidRDefault="00C70C2A" w14:paraId="6A213EC2" w14:textId="393589AD">
    <w:pPr>
      <w:pStyle w:val="Footer"/>
      <w:rPr>
        <w:sz w:val="20"/>
        <w:szCs w:val="20"/>
      </w:rPr>
    </w:pPr>
    <w:r w:rsidRPr="00483F2B">
      <w:rPr>
        <w:sz w:val="20"/>
        <w:szCs w:val="20"/>
      </w:rPr>
      <w:t xml:space="preserve">As of August </w:t>
    </w:r>
    <w:r w:rsidR="00BE13A0">
      <w:rPr>
        <w:sz w:val="20"/>
        <w:szCs w:val="20"/>
      </w:rPr>
      <w:t>22</w:t>
    </w:r>
    <w:r w:rsidRPr="00483F2B">
      <w:rPr>
        <w:sz w:val="20"/>
        <w:szCs w:val="20"/>
      </w:rPr>
      <w:t>, 2023</w:t>
    </w:r>
    <w:r>
      <w:ptab w:alignment="center" w:relativeTo="margin" w:leader="none"/>
    </w:r>
    <w:r w:rsidRPr="006C5AD7">
      <w:rPr>
        <w:b/>
        <w:bCs/>
      </w:rPr>
      <w:t>DRAFT</w:t>
    </w:r>
    <w: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5934" w:rsidP="00C70C2A" w:rsidRDefault="00AF5934" w14:paraId="676D3FFC" w14:textId="77777777">
      <w:pPr>
        <w:spacing w:line="240" w:lineRule="auto"/>
      </w:pPr>
      <w:r>
        <w:separator/>
      </w:r>
    </w:p>
  </w:footnote>
  <w:footnote w:type="continuationSeparator" w:id="0">
    <w:p w:rsidR="00AF5934" w:rsidP="00C70C2A" w:rsidRDefault="00AF5934" w14:paraId="5ED3B397"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C5AD7" w:rsidR="00C70C2A" w:rsidP="006C5AD7" w:rsidRDefault="006C5AD7" w14:paraId="4C57D393" w14:textId="580FFB0E">
    <w:pPr>
      <w:pStyle w:val="Header"/>
      <w:jc w:val="center"/>
      <w:rPr>
        <w:b/>
        <w:bCs/>
      </w:rPr>
    </w:pPr>
    <w:r w:rsidRPr="006C5AD7">
      <w:rPr>
        <w:b/>
        <w:bC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F3CE7"/>
    <w:multiLevelType w:val="hybridMultilevel"/>
    <w:tmpl w:val="223A5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959723">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02A"/>
    <w:rsid w:val="000365BE"/>
    <w:rsid w:val="00083C9C"/>
    <w:rsid w:val="000854EC"/>
    <w:rsid w:val="000D2164"/>
    <w:rsid w:val="000F4D4C"/>
    <w:rsid w:val="001222FC"/>
    <w:rsid w:val="0012550F"/>
    <w:rsid w:val="0018094F"/>
    <w:rsid w:val="00186625"/>
    <w:rsid w:val="001C6CE1"/>
    <w:rsid w:val="00241D69"/>
    <w:rsid w:val="00282801"/>
    <w:rsid w:val="00282F70"/>
    <w:rsid w:val="00287E82"/>
    <w:rsid w:val="00294B87"/>
    <w:rsid w:val="002C18EA"/>
    <w:rsid w:val="002C4C9A"/>
    <w:rsid w:val="002D57C7"/>
    <w:rsid w:val="00301B44"/>
    <w:rsid w:val="003451EF"/>
    <w:rsid w:val="00352C2A"/>
    <w:rsid w:val="00381382"/>
    <w:rsid w:val="00383677"/>
    <w:rsid w:val="003B46CC"/>
    <w:rsid w:val="003E04BE"/>
    <w:rsid w:val="004129B0"/>
    <w:rsid w:val="004158E4"/>
    <w:rsid w:val="00434587"/>
    <w:rsid w:val="00444BC8"/>
    <w:rsid w:val="00483F2B"/>
    <w:rsid w:val="004874D4"/>
    <w:rsid w:val="004D27FB"/>
    <w:rsid w:val="0057502A"/>
    <w:rsid w:val="00591170"/>
    <w:rsid w:val="005B52FC"/>
    <w:rsid w:val="005C607C"/>
    <w:rsid w:val="005D2525"/>
    <w:rsid w:val="006452A9"/>
    <w:rsid w:val="0065116F"/>
    <w:rsid w:val="00697A9F"/>
    <w:rsid w:val="006C3901"/>
    <w:rsid w:val="006C5AD7"/>
    <w:rsid w:val="00761041"/>
    <w:rsid w:val="00763E89"/>
    <w:rsid w:val="00775CC2"/>
    <w:rsid w:val="007912CC"/>
    <w:rsid w:val="00810FF2"/>
    <w:rsid w:val="00814FB9"/>
    <w:rsid w:val="008944A5"/>
    <w:rsid w:val="008A61D1"/>
    <w:rsid w:val="008C15B6"/>
    <w:rsid w:val="008C3A6F"/>
    <w:rsid w:val="008F01B4"/>
    <w:rsid w:val="009151AA"/>
    <w:rsid w:val="00981253"/>
    <w:rsid w:val="009B1DFC"/>
    <w:rsid w:val="009B2C82"/>
    <w:rsid w:val="00AC6310"/>
    <w:rsid w:val="00AE1FB5"/>
    <w:rsid w:val="00AE2150"/>
    <w:rsid w:val="00AF5934"/>
    <w:rsid w:val="00B731CA"/>
    <w:rsid w:val="00B74A18"/>
    <w:rsid w:val="00BA5E11"/>
    <w:rsid w:val="00BD2E36"/>
    <w:rsid w:val="00BE13A0"/>
    <w:rsid w:val="00C70C2A"/>
    <w:rsid w:val="00CF705A"/>
    <w:rsid w:val="00D474FC"/>
    <w:rsid w:val="00D51F58"/>
    <w:rsid w:val="00D67A59"/>
    <w:rsid w:val="00D72078"/>
    <w:rsid w:val="00DB3443"/>
    <w:rsid w:val="00E418E9"/>
    <w:rsid w:val="00E56964"/>
    <w:rsid w:val="00E9399B"/>
    <w:rsid w:val="00EE122F"/>
    <w:rsid w:val="00F93169"/>
    <w:rsid w:val="00FB203A"/>
    <w:rsid w:val="00FC337A"/>
    <w:rsid w:val="09132CDE"/>
    <w:rsid w:val="0CB4D526"/>
    <w:rsid w:val="0D5AA0C2"/>
    <w:rsid w:val="0E50A587"/>
    <w:rsid w:val="11884649"/>
    <w:rsid w:val="1449ACCB"/>
    <w:rsid w:val="1527AB99"/>
    <w:rsid w:val="15A1DA34"/>
    <w:rsid w:val="1A4B40E8"/>
    <w:rsid w:val="1E09367C"/>
    <w:rsid w:val="2184ADDF"/>
    <w:rsid w:val="244D1EAD"/>
    <w:rsid w:val="2826A623"/>
    <w:rsid w:val="2B337A0A"/>
    <w:rsid w:val="2E6B9F86"/>
    <w:rsid w:val="318CA6A8"/>
    <w:rsid w:val="3398E60C"/>
    <w:rsid w:val="379335A3"/>
    <w:rsid w:val="399E28D2"/>
    <w:rsid w:val="3BE0706B"/>
    <w:rsid w:val="3F7C05A9"/>
    <w:rsid w:val="48389183"/>
    <w:rsid w:val="4AEF73D7"/>
    <w:rsid w:val="4E260880"/>
    <w:rsid w:val="507CFD45"/>
    <w:rsid w:val="557004CA"/>
    <w:rsid w:val="5CCE21DF"/>
    <w:rsid w:val="6678D1E4"/>
    <w:rsid w:val="6EB7BCBC"/>
    <w:rsid w:val="76F0A5A2"/>
    <w:rsid w:val="7769AA92"/>
    <w:rsid w:val="781772BE"/>
    <w:rsid w:val="7C5BFED0"/>
    <w:rsid w:val="7D7EA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DC085"/>
  <w15:chartTrackingRefBased/>
  <w15:docId w15:val="{1F151E60-C317-45E9-9E51-4CD2A493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D2525"/>
    <w:pPr>
      <w:ind w:left="720"/>
      <w:contextualSpacing/>
    </w:pPr>
  </w:style>
  <w:style w:type="character" w:styleId="Hyperlink">
    <w:name w:val="Hyperlink"/>
    <w:basedOn w:val="DefaultParagraphFont"/>
    <w:uiPriority w:val="99"/>
    <w:unhideWhenUsed/>
    <w:rsid w:val="005D2525"/>
    <w:rPr>
      <w:color w:val="0563C1" w:themeColor="hyperlink"/>
      <w:u w:val="single"/>
    </w:rPr>
  </w:style>
  <w:style w:type="character" w:styleId="UnresolvedMention">
    <w:name w:val="Unresolved Mention"/>
    <w:basedOn w:val="DefaultParagraphFont"/>
    <w:uiPriority w:val="99"/>
    <w:semiHidden/>
    <w:unhideWhenUsed/>
    <w:rsid w:val="005D2525"/>
    <w:rPr>
      <w:color w:val="605E5C"/>
      <w:shd w:val="clear" w:color="auto" w:fill="E1DFDD"/>
    </w:rPr>
  </w:style>
  <w:style w:type="paragraph" w:styleId="Header">
    <w:name w:val="header"/>
    <w:basedOn w:val="Normal"/>
    <w:link w:val="HeaderChar"/>
    <w:uiPriority w:val="99"/>
    <w:unhideWhenUsed/>
    <w:rsid w:val="00C70C2A"/>
    <w:pPr>
      <w:tabs>
        <w:tab w:val="center" w:pos="4680"/>
        <w:tab w:val="right" w:pos="9360"/>
      </w:tabs>
      <w:spacing w:line="240" w:lineRule="auto"/>
    </w:pPr>
  </w:style>
  <w:style w:type="character" w:styleId="HeaderChar" w:customStyle="1">
    <w:name w:val="Header Char"/>
    <w:basedOn w:val="DefaultParagraphFont"/>
    <w:link w:val="Header"/>
    <w:uiPriority w:val="99"/>
    <w:rsid w:val="00C70C2A"/>
  </w:style>
  <w:style w:type="paragraph" w:styleId="Footer">
    <w:name w:val="footer"/>
    <w:basedOn w:val="Normal"/>
    <w:link w:val="FooterChar"/>
    <w:uiPriority w:val="99"/>
    <w:unhideWhenUsed/>
    <w:rsid w:val="00C70C2A"/>
    <w:pPr>
      <w:tabs>
        <w:tab w:val="center" w:pos="4680"/>
        <w:tab w:val="right" w:pos="9360"/>
      </w:tabs>
      <w:spacing w:line="240" w:lineRule="auto"/>
    </w:pPr>
  </w:style>
  <w:style w:type="character" w:styleId="FooterChar" w:customStyle="1">
    <w:name w:val="Footer Char"/>
    <w:basedOn w:val="DefaultParagraphFont"/>
    <w:link w:val="Footer"/>
    <w:uiPriority w:val="99"/>
    <w:rsid w:val="00C70C2A"/>
  </w:style>
  <w:style w:type="paragraph" w:styleId="Revision">
    <w:name w:val="Revision"/>
    <w:hidden/>
    <w:uiPriority w:val="99"/>
    <w:semiHidden/>
    <w:rsid w:val="00697A9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cfr.gov/current/title-45/subtitle-A/subchapter-D/part-171/subpart-B/section-171.202" TargetMode="External" Id="rId8" /><Relationship Type="http://schemas.openxmlformats.org/officeDocument/2006/relationships/hyperlink" Target="https://www.ecfr.gov/current/title-45/subtitle-A/subchapter-D/part-171/subpart-C/section-171.302"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1.xml" Id="rId21" /><Relationship Type="http://schemas.openxmlformats.org/officeDocument/2006/relationships/hyperlink" Target="https://www.ecfr.gov/current/title-45/subtitle-A/subchapter-D/part-171/subpart-B/section-171.201" TargetMode="External" Id="rId7" /><Relationship Type="http://schemas.openxmlformats.org/officeDocument/2006/relationships/hyperlink" Target="https://www.ecfr.gov/current/title-45/subtitle-A/subchapter-D/part-171/subpart-C/section-171.301" TargetMode="External" Id="rId12"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ecfr.gov/current/title-45/subtitle-A/subchapter-D/part-171/subpart-B/section-171.205" TargetMode="External" Id="rId11" /><Relationship Type="http://schemas.openxmlformats.org/officeDocument/2006/relationships/footnotes" Target="footnotes.xml" Id="rId5" /><Relationship Type="http://schemas.openxmlformats.org/officeDocument/2006/relationships/hyperlink" Target="https://www.healthit.gov/isa/united-states-core-data-interoperability-uscdi" TargetMode="External" Id="rId15" /><Relationship Type="http://schemas.openxmlformats.org/officeDocument/2006/relationships/customXml" Target="../customXml/item3.xml" Id="rId23" /><Relationship Type="http://schemas.openxmlformats.org/officeDocument/2006/relationships/hyperlink" Target="https://www.ecfr.gov/current/title-45/subtitle-A/subchapter-D/part-171/subpart-B/section-171.204" TargetMode="External" Id="rId10" /><Relationship Type="http://schemas.microsoft.com/office/2011/relationships/people" Target="people.xml" Id="rId19" /><Relationship Type="http://schemas.openxmlformats.org/officeDocument/2006/relationships/webSettings" Target="webSettings.xml" Id="rId4" /><Relationship Type="http://schemas.openxmlformats.org/officeDocument/2006/relationships/hyperlink" Target="https://www.ecfr.gov/current/title-45/subtitle-A/subchapter-D/part-171/subpart-B/section-171.202" TargetMode="External" Id="rId9" /><Relationship Type="http://schemas.openxmlformats.org/officeDocument/2006/relationships/hyperlink" Target="https://www.ecfr.gov/current/title-45/subtitle-A/subchapter-D/part-171/subpart-C/section-171.303" TargetMode="External" Id="rId14" /><Relationship Type="http://schemas.openxmlformats.org/officeDocument/2006/relationships/customXml" Target="../customXml/item2.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62159817FAC7429086872FAA60A0F3" ma:contentTypeVersion="14" ma:contentTypeDescription="Create a new document." ma:contentTypeScope="" ma:versionID="24279c2868aeb87b669a3766e0df8c15">
  <xsd:schema xmlns:xsd="http://www.w3.org/2001/XMLSchema" xmlns:xs="http://www.w3.org/2001/XMLSchema" xmlns:p="http://schemas.microsoft.com/office/2006/metadata/properties" xmlns:ns2="dfe1bb36-e71b-4fa8-9c2d-88478ee9764d" xmlns:ns3="7500e2a4-954e-45cf-a2d9-5c758d1b8a5f" targetNamespace="http://schemas.microsoft.com/office/2006/metadata/properties" ma:root="true" ma:fieldsID="13584694351cd5a545d4a55af9b9f3f8" ns2:_="" ns3:_="">
    <xsd:import namespace="dfe1bb36-e71b-4fa8-9c2d-88478ee9764d"/>
    <xsd:import namespace="7500e2a4-954e-45cf-a2d9-5c758d1b8a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1bb36-e71b-4fa8-9c2d-88478ee97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c2963ac-bc47-45f0-9df5-d8c4f725b2a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00e2a4-954e-45cf-a2d9-5c758d1b8a5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ba2b791-3591-418e-b1a6-c59e64ccdbfe}" ma:internalName="TaxCatchAll" ma:showField="CatchAllData" ma:web="7500e2a4-954e-45cf-a2d9-5c758d1b8a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500e2a4-954e-45cf-a2d9-5c758d1b8a5f">
      <UserInfo>
        <DisplayName>Claire Heuberger</DisplayName>
        <AccountId>6</AccountId>
        <AccountType/>
      </UserInfo>
    </SharedWithUsers>
    <TaxCatchAll xmlns="7500e2a4-954e-45cf-a2d9-5c758d1b8a5f" xsi:nil="true"/>
    <lcf76f155ced4ddcb4097134ff3c332f xmlns="dfe1bb36-e71b-4fa8-9c2d-88478ee976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3DBCF4-BAB9-4DD8-A598-DFCE7E00E483}"/>
</file>

<file path=customXml/itemProps2.xml><?xml version="1.0" encoding="utf-8"?>
<ds:datastoreItem xmlns:ds="http://schemas.openxmlformats.org/officeDocument/2006/customXml" ds:itemID="{78988253-DCA7-4F30-B011-451D0C87A768}"/>
</file>

<file path=customXml/itemProps3.xml><?xml version="1.0" encoding="utf-8"?>
<ds:datastoreItem xmlns:ds="http://schemas.openxmlformats.org/officeDocument/2006/customXml" ds:itemID="{C57CF511-D70D-45CD-80AC-7BE70A8214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O'Hora-Webb</dc:creator>
  <cp:keywords/>
  <dc:description/>
  <cp:lastModifiedBy>Maxwell, Sonya M.</cp:lastModifiedBy>
  <cp:revision>5</cp:revision>
  <dcterms:created xsi:type="dcterms:W3CDTF">2023-08-31T01:45:00Z</dcterms:created>
  <dcterms:modified xsi:type="dcterms:W3CDTF">2024-02-02T16:24:19Z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0x010100A362159817FAC7429086872FAA60A0F3</vt:lpwstr>
  </property>
  <property fmtid="{D5CDD505-2E9C-101B-9397-08002B2CF9AE}" pid="3" name="MediaServiceImageTags">
    <vt:lpwstr/>
  </property>
</Properties>
</file>