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82A5" w14:textId="77777777" w:rsidR="000926D9" w:rsidRPr="00702576" w:rsidRDefault="000926D9" w:rsidP="00BA6570">
      <w:pPr>
        <w:jc w:val="center"/>
        <w:rPr>
          <w:rFonts w:cstheme="minorHAnsi"/>
          <w:b/>
          <w:bCs/>
        </w:rPr>
      </w:pPr>
      <w:r w:rsidRPr="00702576">
        <w:rPr>
          <w:rFonts w:cstheme="minorHAnsi"/>
          <w:b/>
          <w:bCs/>
        </w:rPr>
        <w:t>New York State 1115 Waiver Amendment</w:t>
      </w:r>
      <w:r w:rsidRPr="00702576">
        <w:rPr>
          <w:rFonts w:cstheme="minorHAnsi"/>
          <w:b/>
          <w:bCs/>
        </w:rPr>
        <w:br/>
      </w:r>
      <w:r w:rsidRPr="0051582F">
        <w:rPr>
          <w:rFonts w:cstheme="minorHAnsi"/>
          <w:b/>
          <w:bCs/>
          <w:highlight w:val="yellow"/>
        </w:rPr>
        <w:t>OR</w:t>
      </w:r>
      <w:r>
        <w:rPr>
          <w:rFonts w:cstheme="minorHAnsi"/>
          <w:b/>
          <w:bCs/>
          <w:highlight w:val="yellow"/>
        </w:rPr>
        <w:t>GANIZATION</w:t>
      </w:r>
      <w:r w:rsidRPr="00E70195">
        <w:rPr>
          <w:rFonts w:cstheme="minorHAnsi"/>
          <w:b/>
          <w:bCs/>
        </w:rPr>
        <w:t xml:space="preserve"> Comments</w:t>
      </w:r>
      <w:r w:rsidRPr="0051582F">
        <w:rPr>
          <w:rFonts w:cstheme="minorHAnsi"/>
          <w:b/>
          <w:bCs/>
          <w:highlight w:val="yellow"/>
        </w:rPr>
        <w:br/>
        <w:t>DATE</w:t>
      </w:r>
    </w:p>
    <w:p w14:paraId="1346BCC7" w14:textId="77777777" w:rsidR="000926D9" w:rsidRPr="002F487E" w:rsidRDefault="000926D9" w:rsidP="000926D9">
      <w:pPr>
        <w:rPr>
          <w:rFonts w:cstheme="minorHAnsi"/>
          <w:u w:val="single"/>
        </w:rPr>
      </w:pPr>
      <w:r w:rsidRPr="002F487E">
        <w:rPr>
          <w:rFonts w:cstheme="minorHAnsi"/>
          <w:b/>
          <w:bCs/>
          <w:u w:val="single"/>
        </w:rPr>
        <w:t xml:space="preserve">Background </w:t>
      </w:r>
    </w:p>
    <w:p w14:paraId="1BC4D7B1" w14:textId="77777777" w:rsidR="000926D9" w:rsidRDefault="000926D9" w:rsidP="000926D9">
      <w:pPr>
        <w:rPr>
          <w:rFonts w:cstheme="minorHAnsi"/>
        </w:rPr>
      </w:pPr>
      <w:r w:rsidRPr="0051582F">
        <w:rPr>
          <w:rFonts w:cstheme="minorHAnsi"/>
          <w:highlight w:val="yellow"/>
        </w:rPr>
        <w:t>ORGANIZATION</w:t>
      </w:r>
      <w:r>
        <w:rPr>
          <w:rFonts w:cstheme="minorHAnsi"/>
        </w:rPr>
        <w:t xml:space="preserve"> </w:t>
      </w:r>
      <w:r w:rsidRPr="00702576">
        <w:rPr>
          <w:rFonts w:cstheme="minorHAnsi"/>
        </w:rPr>
        <w:t xml:space="preserve">is grateful for the opportunity to comment on the 1115 waiver amendment, </w:t>
      </w:r>
      <w:r>
        <w:rPr>
          <w:rFonts w:cstheme="minorHAnsi"/>
        </w:rPr>
        <w:t xml:space="preserve">New York Health Equity Reform (NYHER): </w:t>
      </w:r>
      <w:r w:rsidRPr="00702576">
        <w:rPr>
          <w:rFonts w:cstheme="minorHAnsi"/>
        </w:rPr>
        <w:t xml:space="preserve">Making Targeted, Evidence-Based Investments to Address the Health Disparities Exacerbated by the COVID-19 Pandemic. </w:t>
      </w:r>
      <w:r w:rsidRPr="0051582F">
        <w:rPr>
          <w:rFonts w:cstheme="minorHAnsi"/>
          <w:highlight w:val="yellow"/>
        </w:rPr>
        <w:t>PROVIDE BACKGROUND ABOUT YOUR ORG – MISSION, PATIENTS SERVED, LOCATION, ETC.</w:t>
      </w:r>
      <w:r>
        <w:rPr>
          <w:rFonts w:cstheme="minorHAnsi"/>
        </w:rPr>
        <w:t xml:space="preserve"> </w:t>
      </w:r>
    </w:p>
    <w:p w14:paraId="69935A05" w14:textId="0B71CD6F" w:rsidR="000926D9" w:rsidRDefault="000926D9" w:rsidP="000926D9">
      <w:pPr>
        <w:rPr>
          <w:rFonts w:cstheme="minorHAnsi"/>
        </w:rPr>
      </w:pPr>
      <w:r>
        <w:rPr>
          <w:rFonts w:cstheme="minorHAnsi"/>
          <w:highlight w:val="yellow"/>
        </w:rPr>
        <w:t>ORGANIZATION</w:t>
      </w:r>
      <w:r>
        <w:rPr>
          <w:rFonts w:cstheme="minorHAnsi"/>
        </w:rPr>
        <w:t>, a federally</w:t>
      </w:r>
      <w:r w:rsidR="00153F41">
        <w:rPr>
          <w:rFonts w:cstheme="minorHAnsi"/>
        </w:rPr>
        <w:t xml:space="preserve"> </w:t>
      </w:r>
      <w:r>
        <w:rPr>
          <w:rFonts w:cstheme="minorHAnsi"/>
        </w:rPr>
        <w:t>qualified health center (FQHC), writes these comments in alignment with the Community Health Care Association of New York State (CHCANYS).</w:t>
      </w:r>
      <w:r w:rsidRPr="00702576">
        <w:rPr>
          <w:rFonts w:cstheme="minorHAnsi"/>
        </w:rPr>
        <w:t xml:space="preserve"> As safety-net providers who have built trust and relationships in medically underserved communities, FQHCs have long worked to address health disparities and advance health equity. The waiver must prioritize and invest in primary and preventive care to further the goals of improving health outcomes and advancing health equity. </w:t>
      </w:r>
    </w:p>
    <w:p w14:paraId="02195500" w14:textId="6BF59D25" w:rsidR="000926D9" w:rsidRPr="000926D9" w:rsidRDefault="000926D9" w:rsidP="00F63F4A">
      <w:pPr>
        <w:rPr>
          <w:rFonts w:cstheme="minorHAnsi"/>
        </w:rPr>
      </w:pPr>
      <w:r>
        <w:rPr>
          <w:rFonts w:cstheme="minorHAnsi"/>
        </w:rPr>
        <w:t>Below, please find a summary of our comments in alignment with CHCANYS. For further details, please see CHCANYS</w:t>
      </w:r>
      <w:r w:rsidR="002343D3">
        <w:rPr>
          <w:rFonts w:cstheme="minorHAnsi"/>
        </w:rPr>
        <w:t>’</w:t>
      </w:r>
      <w:r>
        <w:rPr>
          <w:rFonts w:cstheme="minorHAnsi"/>
        </w:rPr>
        <w:t xml:space="preserve"> full comments. </w:t>
      </w:r>
    </w:p>
    <w:p w14:paraId="062906BB" w14:textId="6348FCDB" w:rsidR="000225CA" w:rsidRPr="00FD7802" w:rsidRDefault="00B567A8" w:rsidP="00F63F4A">
      <w:pPr>
        <w:rPr>
          <w:rFonts w:cstheme="minorHAnsi"/>
          <w:b/>
          <w:bCs/>
          <w:u w:val="single"/>
        </w:rPr>
      </w:pPr>
      <w:r w:rsidRPr="00FD7802">
        <w:rPr>
          <w:rFonts w:cstheme="minorHAnsi"/>
          <w:b/>
          <w:bCs/>
          <w:u w:val="single"/>
        </w:rPr>
        <w:t>FQHC Alternate Payment Methodology</w:t>
      </w:r>
      <w:r w:rsidR="00C327E4" w:rsidRPr="00FD7802">
        <w:rPr>
          <w:rFonts w:cstheme="minorHAnsi"/>
          <w:b/>
          <w:bCs/>
          <w:u w:val="single"/>
        </w:rPr>
        <w:t xml:space="preserve"> (APM)</w:t>
      </w:r>
    </w:p>
    <w:p w14:paraId="30757C8D" w14:textId="4B70F5F5" w:rsidR="0044286C" w:rsidRPr="0044286C" w:rsidRDefault="0044286C" w:rsidP="00651FA8">
      <w:pPr>
        <w:ind w:firstLine="720"/>
        <w:rPr>
          <w:rFonts w:cstheme="minorHAnsi"/>
          <w:b/>
          <w:bCs/>
          <w:i/>
          <w:iCs/>
        </w:rPr>
      </w:pPr>
      <w:r w:rsidRPr="0044286C">
        <w:rPr>
          <w:rFonts w:cstheme="minorHAnsi"/>
          <w:b/>
          <w:bCs/>
          <w:i/>
          <w:iCs/>
        </w:rPr>
        <w:t>Capitated APM</w:t>
      </w:r>
    </w:p>
    <w:p w14:paraId="1023DFC6" w14:textId="77777777" w:rsidR="002A1CCD" w:rsidRDefault="002A1CCD" w:rsidP="002A1CCD">
      <w:pPr>
        <w:pStyle w:val="Default"/>
        <w:spacing w:after="160" w:line="259" w:lineRule="auto"/>
        <w:rPr>
          <w:rFonts w:asciiTheme="minorHAnsi" w:hAnsiTheme="minorHAnsi" w:cstheme="minorHAnsi"/>
          <w:sz w:val="22"/>
          <w:szCs w:val="22"/>
        </w:rPr>
      </w:pPr>
      <w:r w:rsidRPr="0051582F">
        <w:rPr>
          <w:rFonts w:asciiTheme="minorHAnsi" w:hAnsiTheme="minorHAnsi" w:cstheme="minorHAnsi"/>
          <w:sz w:val="22"/>
          <w:szCs w:val="22"/>
          <w:highlight w:val="yellow"/>
        </w:rPr>
        <w:t>ORG</w:t>
      </w:r>
      <w:r>
        <w:rPr>
          <w:rFonts w:asciiTheme="minorHAnsi" w:hAnsiTheme="minorHAnsi" w:cstheme="minorHAnsi"/>
          <w:sz w:val="22"/>
          <w:szCs w:val="22"/>
          <w:highlight w:val="yellow"/>
        </w:rPr>
        <w:t>ANIZATION</w:t>
      </w:r>
      <w:r w:rsidRPr="00702576">
        <w:rPr>
          <w:rFonts w:asciiTheme="minorHAnsi" w:hAnsiTheme="minorHAnsi" w:cstheme="minorHAnsi"/>
          <w:sz w:val="22"/>
          <w:szCs w:val="22"/>
        </w:rPr>
        <w:t xml:space="preserve"> is pleased to see reference in the waiver amendment to a FQHC-specific alternative payment methodology (APM) which we believe is necessary to align care delivery models with value-based payment goals. </w:t>
      </w:r>
      <w:r>
        <w:rPr>
          <w:rFonts w:asciiTheme="minorHAnsi" w:hAnsiTheme="minorHAnsi" w:cstheme="minorHAnsi"/>
          <w:sz w:val="22"/>
          <w:szCs w:val="22"/>
        </w:rPr>
        <w:t xml:space="preserve">We welcome the opportunity to work further with the NYS Department of Health (DOH) on development of a FQHC capitated APM. </w:t>
      </w:r>
    </w:p>
    <w:p w14:paraId="33B78866" w14:textId="305EFFD7" w:rsidR="00754E09" w:rsidRPr="00754E09" w:rsidRDefault="0044286C" w:rsidP="00651FA8">
      <w:pPr>
        <w:pStyle w:val="Default"/>
        <w:spacing w:after="160" w:line="259" w:lineRule="auto"/>
        <w:ind w:firstLine="720"/>
        <w:rPr>
          <w:rFonts w:asciiTheme="minorHAnsi" w:hAnsiTheme="minorHAnsi" w:cstheme="minorHAnsi"/>
          <w:b/>
          <w:bCs/>
          <w:i/>
          <w:iCs/>
          <w:sz w:val="22"/>
          <w:szCs w:val="22"/>
        </w:rPr>
      </w:pPr>
      <w:r w:rsidRPr="0044286C">
        <w:rPr>
          <w:rFonts w:asciiTheme="minorHAnsi" w:hAnsiTheme="minorHAnsi" w:cstheme="minorHAnsi"/>
          <w:b/>
          <w:bCs/>
          <w:i/>
          <w:iCs/>
          <w:sz w:val="22"/>
          <w:szCs w:val="22"/>
        </w:rPr>
        <w:t>Directed Payment APM</w:t>
      </w:r>
    </w:p>
    <w:p w14:paraId="4F9E36B2" w14:textId="7C0A5C7E" w:rsidR="00E40482" w:rsidRPr="00EB43F2" w:rsidRDefault="00E40482" w:rsidP="00E40482">
      <w:pPr>
        <w:pStyle w:val="Default"/>
        <w:rPr>
          <w:rFonts w:asciiTheme="minorHAnsi" w:hAnsiTheme="minorHAnsi" w:cstheme="minorHAnsi"/>
          <w:sz w:val="22"/>
          <w:szCs w:val="22"/>
        </w:rPr>
      </w:pPr>
      <w:r w:rsidRPr="00754E09">
        <w:rPr>
          <w:rFonts w:asciiTheme="minorHAnsi" w:hAnsiTheme="minorHAnsi" w:cstheme="minorHAnsi"/>
          <w:sz w:val="22"/>
          <w:szCs w:val="22"/>
        </w:rPr>
        <w:t>In July 2020, the Department</w:t>
      </w:r>
      <w:r>
        <w:rPr>
          <w:rFonts w:asciiTheme="minorHAnsi" w:hAnsiTheme="minorHAnsi" w:cstheme="minorHAnsi"/>
          <w:sz w:val="22"/>
          <w:szCs w:val="22"/>
        </w:rPr>
        <w:t xml:space="preserve"> of Health</w:t>
      </w:r>
      <w:r w:rsidRPr="00754E09">
        <w:rPr>
          <w:rFonts w:asciiTheme="minorHAnsi" w:hAnsiTheme="minorHAnsi" w:cstheme="minorHAnsi"/>
          <w:sz w:val="22"/>
          <w:szCs w:val="22"/>
        </w:rPr>
        <w:t xml:space="preserve"> issued guidance </w:t>
      </w:r>
      <w:r>
        <w:rPr>
          <w:rFonts w:asciiTheme="minorHAnsi" w:hAnsiTheme="minorHAnsi" w:cstheme="minorHAnsi"/>
          <w:sz w:val="22"/>
          <w:szCs w:val="22"/>
        </w:rPr>
        <w:t>directing</w:t>
      </w:r>
      <w:r w:rsidRPr="00754E09">
        <w:rPr>
          <w:rFonts w:asciiTheme="minorHAnsi" w:hAnsiTheme="minorHAnsi" w:cstheme="minorHAnsi"/>
          <w:sz w:val="22"/>
          <w:szCs w:val="22"/>
        </w:rPr>
        <w:t xml:space="preserve"> MCOs to reimburse FQHCs at the PPS rate for </w:t>
      </w:r>
      <w:r>
        <w:rPr>
          <w:rFonts w:asciiTheme="minorHAnsi" w:hAnsiTheme="minorHAnsi" w:cstheme="minorHAnsi"/>
          <w:sz w:val="22"/>
          <w:szCs w:val="22"/>
        </w:rPr>
        <w:t xml:space="preserve">FQHC services licensed under the State Office of Mental Health and Office of Addiction Services and Support. The Department of Health has shared its plan with CHCANYS to direct MCOs to pay FQHCs their full PPS payment for </w:t>
      </w:r>
      <w:r w:rsidRPr="00EB43F2">
        <w:rPr>
          <w:rFonts w:asciiTheme="minorHAnsi" w:hAnsiTheme="minorHAnsi" w:cstheme="minorHAnsi"/>
          <w:sz w:val="22"/>
          <w:szCs w:val="22"/>
        </w:rPr>
        <w:t>all</w:t>
      </w:r>
      <w:r>
        <w:rPr>
          <w:rFonts w:asciiTheme="minorHAnsi" w:hAnsiTheme="minorHAnsi" w:cstheme="minorHAnsi"/>
          <w:sz w:val="22"/>
          <w:szCs w:val="22"/>
        </w:rPr>
        <w:t xml:space="preserve"> FQHC services in the coming months. We welcome the opportunity to move to a less administratively burdensome payment methodology. </w:t>
      </w:r>
      <w:r w:rsidR="00DF08FE">
        <w:rPr>
          <w:rFonts w:asciiTheme="minorHAnsi" w:hAnsiTheme="minorHAnsi" w:cstheme="minorHAnsi"/>
          <w:sz w:val="22"/>
          <w:szCs w:val="22"/>
        </w:rPr>
        <w:t>However, we w</w:t>
      </w:r>
      <w:r w:rsidR="00032F83">
        <w:rPr>
          <w:rFonts w:asciiTheme="minorHAnsi" w:hAnsiTheme="minorHAnsi" w:cstheme="minorHAnsi"/>
          <w:sz w:val="22"/>
          <w:szCs w:val="22"/>
        </w:rPr>
        <w:t xml:space="preserve">ant to highlight that </w:t>
      </w:r>
      <w:r>
        <w:rPr>
          <w:rFonts w:asciiTheme="minorHAnsi" w:hAnsiTheme="minorHAnsi" w:cstheme="minorHAnsi"/>
          <w:sz w:val="22"/>
          <w:szCs w:val="22"/>
        </w:rPr>
        <w:t xml:space="preserve">per </w:t>
      </w:r>
      <w:r w:rsidRPr="00EB43F2">
        <w:rPr>
          <w:rFonts w:asciiTheme="minorHAnsi" w:hAnsiTheme="minorHAnsi" w:cstheme="minorHAnsi"/>
          <w:sz w:val="22"/>
          <w:szCs w:val="22"/>
        </w:rPr>
        <w:t>CMS SHO #16-006</w:t>
      </w:r>
      <w:r>
        <w:rPr>
          <w:rFonts w:asciiTheme="minorHAnsi" w:hAnsiTheme="minorHAnsi" w:cstheme="minorHAnsi"/>
          <w:sz w:val="22"/>
          <w:szCs w:val="22"/>
        </w:rPr>
        <w:t>, DOH is required to secure CMS approval of a State Plan Amendment (SPA) for this alternate payment methodology</w:t>
      </w:r>
      <w:r w:rsidRPr="00EB43F2">
        <w:rPr>
          <w:rFonts w:asciiTheme="minorHAnsi" w:hAnsiTheme="minorHAnsi" w:cstheme="minorHAnsi"/>
          <w:sz w:val="22"/>
          <w:szCs w:val="22"/>
        </w:rPr>
        <w:t xml:space="preserve">. </w:t>
      </w:r>
      <w:r>
        <w:rPr>
          <w:rFonts w:asciiTheme="minorHAnsi" w:hAnsiTheme="minorHAnsi" w:cstheme="minorHAnsi"/>
          <w:sz w:val="22"/>
          <w:szCs w:val="22"/>
        </w:rPr>
        <w:t xml:space="preserve">While the directed PPS is not part of the waiver amendment, we believe the process for implementation of this initiative has potential accountability and transparency impacts for the capitated APM included in the waiver. </w:t>
      </w:r>
    </w:p>
    <w:p w14:paraId="6A4513B8" w14:textId="77777777" w:rsidR="0006611A" w:rsidRPr="0006611A" w:rsidRDefault="0006611A" w:rsidP="00537D2B">
      <w:pPr>
        <w:spacing w:after="0"/>
        <w:rPr>
          <w:rFonts w:cstheme="minorHAnsi"/>
          <w:b/>
          <w:bCs/>
          <w:color w:val="000000"/>
        </w:rPr>
      </w:pPr>
    </w:p>
    <w:p w14:paraId="11B8AE23" w14:textId="49043C58" w:rsidR="0006611A" w:rsidRPr="00FD7802" w:rsidRDefault="0006611A" w:rsidP="0006611A">
      <w:pPr>
        <w:rPr>
          <w:rFonts w:cstheme="minorHAnsi"/>
          <w:b/>
          <w:bCs/>
          <w:color w:val="000000"/>
          <w:u w:val="single"/>
        </w:rPr>
      </w:pPr>
      <w:r w:rsidRPr="00FD7802">
        <w:rPr>
          <w:rFonts w:cstheme="minorHAnsi"/>
          <w:b/>
          <w:bCs/>
          <w:color w:val="000000"/>
          <w:u w:val="single"/>
        </w:rPr>
        <w:t xml:space="preserve">$1 Billion Investment in Community-Based, Integrated Primary Care </w:t>
      </w:r>
    </w:p>
    <w:p w14:paraId="681E241D" w14:textId="2411F1FA" w:rsidR="00B079DE" w:rsidRDefault="00490BB5" w:rsidP="0048461A">
      <w:pPr>
        <w:rPr>
          <w:rFonts w:cstheme="minorHAnsi"/>
        </w:rPr>
      </w:pPr>
      <w:r w:rsidRPr="00490BB5">
        <w:rPr>
          <w:rFonts w:cstheme="minorHAnsi"/>
        </w:rPr>
        <w:t xml:space="preserve">As safety-net providers who have built trust and relationships in </w:t>
      </w:r>
      <w:r w:rsidR="00C52604" w:rsidRPr="00490BB5">
        <w:rPr>
          <w:rFonts w:cstheme="minorHAnsi"/>
        </w:rPr>
        <w:t>medically underserved</w:t>
      </w:r>
      <w:r w:rsidRPr="00490BB5">
        <w:rPr>
          <w:rFonts w:cstheme="minorHAnsi"/>
        </w:rPr>
        <w:t xml:space="preserve"> communities, FQHCs have always addressed social determinants of health and are well</w:t>
      </w:r>
      <w:r w:rsidR="005D57BA">
        <w:rPr>
          <w:rFonts w:cstheme="minorHAnsi"/>
        </w:rPr>
        <w:t>-</w:t>
      </w:r>
      <w:r w:rsidRPr="00490BB5">
        <w:rPr>
          <w:rFonts w:cstheme="minorHAnsi"/>
        </w:rPr>
        <w:t xml:space="preserve">positioned to be key partners in advancing the </w:t>
      </w:r>
      <w:r>
        <w:rPr>
          <w:rFonts w:cstheme="minorHAnsi"/>
        </w:rPr>
        <w:t>waiver</w:t>
      </w:r>
      <w:r w:rsidRPr="00490BB5">
        <w:rPr>
          <w:rFonts w:cstheme="minorHAnsi"/>
        </w:rPr>
        <w:t xml:space="preserve"> goals. </w:t>
      </w:r>
      <w:r w:rsidR="00B319DD" w:rsidRPr="00702576">
        <w:rPr>
          <w:rFonts w:cstheme="minorHAnsi"/>
        </w:rPr>
        <w:t>FQHC</w:t>
      </w:r>
      <w:r w:rsidR="00864DA6" w:rsidRPr="00702576">
        <w:rPr>
          <w:rFonts w:cstheme="minorHAnsi"/>
        </w:rPr>
        <w:t>s are safety</w:t>
      </w:r>
      <w:r w:rsidR="005D57BA">
        <w:rPr>
          <w:rFonts w:cstheme="minorHAnsi"/>
        </w:rPr>
        <w:t>-</w:t>
      </w:r>
      <w:r w:rsidR="00864DA6" w:rsidRPr="00702576">
        <w:rPr>
          <w:rFonts w:cstheme="minorHAnsi"/>
        </w:rPr>
        <w:t>net providers located in the communities that have been most adversely impacted throughout the pandemic, and were at the forefront of public health efforts, including standing up mass testing sites and vaccination efforts statewide. To ad</w:t>
      </w:r>
      <w:r w:rsidR="00E40482">
        <w:rPr>
          <w:rFonts w:cstheme="minorHAnsi"/>
        </w:rPr>
        <w:t xml:space="preserve">vance </w:t>
      </w:r>
      <w:r w:rsidR="00864DA6" w:rsidRPr="00702576">
        <w:rPr>
          <w:rFonts w:cstheme="minorHAnsi"/>
        </w:rPr>
        <w:t xml:space="preserve">the prevention and population health goals of the waiver, targeted investment </w:t>
      </w:r>
      <w:r w:rsidR="00E40482">
        <w:rPr>
          <w:rFonts w:cstheme="minorHAnsi"/>
        </w:rPr>
        <w:t xml:space="preserve">will </w:t>
      </w:r>
      <w:r w:rsidR="00864DA6" w:rsidRPr="00702576">
        <w:rPr>
          <w:rFonts w:cstheme="minorHAnsi"/>
        </w:rPr>
        <w:t xml:space="preserve">expand interventions </w:t>
      </w:r>
      <w:r w:rsidR="00864DA6" w:rsidRPr="00702576">
        <w:rPr>
          <w:rFonts w:cstheme="minorHAnsi"/>
        </w:rPr>
        <w:lastRenderedPageBreak/>
        <w:t xml:space="preserve">focused on health equity and population health improvement for the large proportion of the Medicaid population served by </w:t>
      </w:r>
      <w:r w:rsidR="00C90408">
        <w:rPr>
          <w:rFonts w:cstheme="minorHAnsi"/>
        </w:rPr>
        <w:t>FQHCs</w:t>
      </w:r>
      <w:r w:rsidR="00864DA6" w:rsidRPr="00702576">
        <w:rPr>
          <w:rFonts w:cstheme="minorHAnsi"/>
        </w:rPr>
        <w:t xml:space="preserve">. </w:t>
      </w:r>
    </w:p>
    <w:p w14:paraId="12C4B63B" w14:textId="326A010D" w:rsidR="003E6B2C" w:rsidRDefault="00F221B9" w:rsidP="0048461A">
      <w:pPr>
        <w:rPr>
          <w:rFonts w:cstheme="minorHAnsi"/>
        </w:rPr>
      </w:pPr>
      <w:r>
        <w:rPr>
          <w:rFonts w:cstheme="minorHAnsi"/>
        </w:rPr>
        <w:t xml:space="preserve">We </w:t>
      </w:r>
      <w:r w:rsidR="009A314D">
        <w:rPr>
          <w:rFonts w:cstheme="minorHAnsi"/>
        </w:rPr>
        <w:t>support CHCANYS’</w:t>
      </w:r>
      <w:r w:rsidR="00B079DE">
        <w:rPr>
          <w:rFonts w:cstheme="minorHAnsi"/>
        </w:rPr>
        <w:t xml:space="preserve"> request</w:t>
      </w:r>
      <w:r w:rsidR="009A314D">
        <w:rPr>
          <w:rFonts w:cstheme="minorHAnsi"/>
        </w:rPr>
        <w:t xml:space="preserve"> to the State for</w:t>
      </w:r>
      <w:r w:rsidR="00B079DE">
        <w:rPr>
          <w:rFonts w:cstheme="minorHAnsi"/>
        </w:rPr>
        <w:t xml:space="preserve"> </w:t>
      </w:r>
      <w:r w:rsidR="00E40482">
        <w:rPr>
          <w:rFonts w:cstheme="minorHAnsi"/>
        </w:rPr>
        <w:t>a</w:t>
      </w:r>
      <w:r w:rsidR="0048461A" w:rsidRPr="0048461A">
        <w:rPr>
          <w:rFonts w:cstheme="minorHAnsi"/>
        </w:rPr>
        <w:t xml:space="preserve"> $1 billion investment in </w:t>
      </w:r>
      <w:r w:rsidR="00B079DE">
        <w:rPr>
          <w:rFonts w:cstheme="minorHAnsi"/>
        </w:rPr>
        <w:t>FQHCs</w:t>
      </w:r>
      <w:r w:rsidR="0048461A" w:rsidRPr="0048461A">
        <w:rPr>
          <w:rFonts w:cstheme="minorHAnsi"/>
        </w:rPr>
        <w:t xml:space="preserve"> and FQHC-led IPAs, through upfront </w:t>
      </w:r>
      <w:r w:rsidR="0048461A">
        <w:rPr>
          <w:rFonts w:cstheme="minorHAnsi"/>
        </w:rPr>
        <w:t>investments</w:t>
      </w:r>
      <w:r w:rsidR="0048461A" w:rsidRPr="0048461A">
        <w:rPr>
          <w:rFonts w:cstheme="minorHAnsi"/>
        </w:rPr>
        <w:t xml:space="preserve"> and long-term FQHC rate reform</w:t>
      </w:r>
      <w:r w:rsidR="0048461A">
        <w:rPr>
          <w:rFonts w:cstheme="minorHAnsi"/>
        </w:rPr>
        <w:t xml:space="preserve"> to ensure sustainability beyond the life of the waiver</w:t>
      </w:r>
      <w:r w:rsidR="0048461A" w:rsidRPr="0048461A">
        <w:rPr>
          <w:rFonts w:cstheme="minorHAnsi"/>
        </w:rPr>
        <w:t>.</w:t>
      </w:r>
    </w:p>
    <w:p w14:paraId="2F7A0B44" w14:textId="77777777" w:rsidR="00FD7802" w:rsidRPr="00FD7802" w:rsidRDefault="00FD7802" w:rsidP="00FD7802">
      <w:pPr>
        <w:spacing w:before="1"/>
        <w:ind w:firstLine="720"/>
        <w:rPr>
          <w:rFonts w:cstheme="minorHAnsi"/>
          <w:b/>
          <w:bCs/>
          <w:i/>
          <w:iCs/>
        </w:rPr>
      </w:pPr>
      <w:r w:rsidRPr="00FD7802">
        <w:rPr>
          <w:rFonts w:cstheme="minorHAnsi"/>
          <w:b/>
          <w:bCs/>
          <w:i/>
          <w:iCs/>
        </w:rPr>
        <w:t>Investment in FQHCs</w:t>
      </w:r>
    </w:p>
    <w:p w14:paraId="780F0711" w14:textId="77777777" w:rsidR="00FD7802" w:rsidRPr="00FD7802" w:rsidRDefault="00FD7802" w:rsidP="00FD7802">
      <w:pPr>
        <w:pStyle w:val="BodyText"/>
        <w:spacing w:before="3" w:line="242" w:lineRule="auto"/>
        <w:ind w:left="0" w:right="173"/>
        <w:rPr>
          <w:rFonts w:asciiTheme="minorHAnsi" w:eastAsiaTheme="minorHAnsi" w:hAnsiTheme="minorHAnsi" w:cstheme="minorHAnsi"/>
          <w:lang w:bidi="ar-SA"/>
        </w:rPr>
      </w:pPr>
      <w:r w:rsidRPr="00FD7802">
        <w:rPr>
          <w:rFonts w:asciiTheme="minorHAnsi" w:eastAsiaTheme="minorHAnsi" w:hAnsiTheme="minorHAnsi" w:cstheme="minorHAnsi"/>
          <w:lang w:bidi="ar-SA"/>
        </w:rPr>
        <w:t>Upfront, targeted investments in FQHCs are needed for capacity building and COVID- 19 recovery. Specifically, an upfront investment would support:</w:t>
      </w:r>
    </w:p>
    <w:p w14:paraId="738F0F6F" w14:textId="77777777" w:rsidR="00FD7802" w:rsidRPr="00FD7802" w:rsidRDefault="00FD7802" w:rsidP="00FD7802">
      <w:pPr>
        <w:pStyle w:val="ListParagraph"/>
        <w:widowControl w:val="0"/>
        <w:numPr>
          <w:ilvl w:val="0"/>
          <w:numId w:val="3"/>
        </w:numPr>
        <w:tabs>
          <w:tab w:val="left" w:pos="820"/>
          <w:tab w:val="left" w:pos="821"/>
        </w:tabs>
        <w:autoSpaceDE w:val="0"/>
        <w:autoSpaceDN w:val="0"/>
        <w:spacing w:after="0" w:line="277" w:lineRule="exact"/>
        <w:ind w:hanging="361"/>
        <w:contextualSpacing w:val="0"/>
        <w:rPr>
          <w:rFonts w:cstheme="minorHAnsi"/>
        </w:rPr>
      </w:pPr>
      <w:r w:rsidRPr="00FD7802">
        <w:rPr>
          <w:rFonts w:cstheme="minorHAnsi"/>
        </w:rPr>
        <w:t>Development of technical infrastructure, including telehealth capabilities;</w:t>
      </w:r>
    </w:p>
    <w:p w14:paraId="525003B1" w14:textId="77777777" w:rsidR="00FD7802" w:rsidRPr="00FD7802" w:rsidRDefault="00FD7802" w:rsidP="00FD7802">
      <w:pPr>
        <w:pStyle w:val="ListParagraph"/>
        <w:widowControl w:val="0"/>
        <w:numPr>
          <w:ilvl w:val="0"/>
          <w:numId w:val="3"/>
        </w:numPr>
        <w:tabs>
          <w:tab w:val="left" w:pos="820"/>
          <w:tab w:val="left" w:pos="821"/>
        </w:tabs>
        <w:autoSpaceDE w:val="0"/>
        <w:autoSpaceDN w:val="0"/>
        <w:spacing w:after="0" w:line="244" w:lineRule="auto"/>
        <w:ind w:right="1215"/>
        <w:contextualSpacing w:val="0"/>
        <w:rPr>
          <w:rFonts w:cstheme="minorHAnsi"/>
        </w:rPr>
      </w:pPr>
      <w:r w:rsidRPr="00FD7802">
        <w:rPr>
          <w:rFonts w:cstheme="minorHAnsi"/>
        </w:rPr>
        <w:t>Expansion of data analytics that promote interoperability resulting in actionable information to improve clinical outcomes;</w:t>
      </w:r>
    </w:p>
    <w:p w14:paraId="62AA8C91" w14:textId="77777777" w:rsidR="00FD7802" w:rsidRPr="00FD7802" w:rsidRDefault="00FD7802" w:rsidP="00FD7802">
      <w:pPr>
        <w:pStyle w:val="ListParagraph"/>
        <w:widowControl w:val="0"/>
        <w:numPr>
          <w:ilvl w:val="0"/>
          <w:numId w:val="3"/>
        </w:numPr>
        <w:tabs>
          <w:tab w:val="left" w:pos="820"/>
          <w:tab w:val="left" w:pos="821"/>
        </w:tabs>
        <w:autoSpaceDE w:val="0"/>
        <w:autoSpaceDN w:val="0"/>
        <w:spacing w:after="0" w:line="242" w:lineRule="auto"/>
        <w:ind w:right="522"/>
        <w:contextualSpacing w:val="0"/>
        <w:rPr>
          <w:rFonts w:cstheme="minorHAnsi"/>
        </w:rPr>
      </w:pPr>
      <w:r w:rsidRPr="00FD7802">
        <w:rPr>
          <w:rFonts w:cstheme="minorHAnsi"/>
        </w:rPr>
        <w:t>FQHC solvency requirements to successfully participate in risk-sharing VBP arrangements;</w:t>
      </w:r>
    </w:p>
    <w:p w14:paraId="0283494C" w14:textId="3C103D64" w:rsidR="00FD7802" w:rsidRPr="00537D2B" w:rsidRDefault="00FD7802" w:rsidP="00537D2B">
      <w:pPr>
        <w:pStyle w:val="ListParagraph"/>
        <w:widowControl w:val="0"/>
        <w:numPr>
          <w:ilvl w:val="0"/>
          <w:numId w:val="3"/>
        </w:numPr>
        <w:tabs>
          <w:tab w:val="left" w:pos="820"/>
          <w:tab w:val="left" w:pos="821"/>
        </w:tabs>
        <w:autoSpaceDE w:val="0"/>
        <w:autoSpaceDN w:val="0"/>
        <w:spacing w:after="0" w:line="242" w:lineRule="auto"/>
        <w:ind w:right="491"/>
        <w:contextualSpacing w:val="0"/>
        <w:rPr>
          <w:rFonts w:cstheme="minorHAnsi"/>
        </w:rPr>
      </w:pPr>
      <w:r w:rsidRPr="00FD7802">
        <w:rPr>
          <w:rFonts w:cstheme="minorHAnsi"/>
        </w:rPr>
        <w:t xml:space="preserve">Integrated </w:t>
      </w:r>
      <w:r w:rsidR="00E40482">
        <w:rPr>
          <w:rFonts w:cstheme="minorHAnsi"/>
        </w:rPr>
        <w:t>c</w:t>
      </w:r>
      <w:r w:rsidRPr="00FD7802">
        <w:rPr>
          <w:rFonts w:cstheme="minorHAnsi"/>
        </w:rPr>
        <w:t xml:space="preserve">are initiatives, such as development of community partnerships that enhance </w:t>
      </w:r>
      <w:r w:rsidR="000C5D64">
        <w:rPr>
          <w:rFonts w:cstheme="minorHAnsi"/>
        </w:rPr>
        <w:t>FQHCs</w:t>
      </w:r>
      <w:r w:rsidR="00E40482">
        <w:rPr>
          <w:rFonts w:cstheme="minorHAnsi"/>
        </w:rPr>
        <w:t>’</w:t>
      </w:r>
      <w:r w:rsidRPr="00FD7802">
        <w:rPr>
          <w:rFonts w:cstheme="minorHAnsi"/>
        </w:rPr>
        <w:t xml:space="preserve"> ability to address social determinants of health,</w:t>
      </w:r>
      <w:r w:rsidR="00537D2B">
        <w:rPr>
          <w:rFonts w:cstheme="minorHAnsi"/>
        </w:rPr>
        <w:t xml:space="preserve"> </w:t>
      </w:r>
      <w:r w:rsidRPr="00537D2B">
        <w:rPr>
          <w:rFonts w:cstheme="minorHAnsi"/>
        </w:rPr>
        <w:t>regulatory waivers to allow a co-location pilot, and integrated care team transformation;</w:t>
      </w:r>
    </w:p>
    <w:p w14:paraId="019FAAC6" w14:textId="77777777" w:rsidR="00FD7802" w:rsidRPr="00FD7802" w:rsidRDefault="00FD7802" w:rsidP="00FD7802">
      <w:pPr>
        <w:pStyle w:val="ListParagraph"/>
        <w:widowControl w:val="0"/>
        <w:numPr>
          <w:ilvl w:val="0"/>
          <w:numId w:val="3"/>
        </w:numPr>
        <w:tabs>
          <w:tab w:val="left" w:pos="820"/>
          <w:tab w:val="left" w:pos="821"/>
        </w:tabs>
        <w:autoSpaceDE w:val="0"/>
        <w:autoSpaceDN w:val="0"/>
        <w:spacing w:after="0" w:line="278" w:lineRule="exact"/>
        <w:ind w:hanging="361"/>
        <w:contextualSpacing w:val="0"/>
        <w:rPr>
          <w:rFonts w:cstheme="minorHAnsi"/>
        </w:rPr>
      </w:pPr>
      <w:r w:rsidRPr="00FD7802">
        <w:rPr>
          <w:rFonts w:cstheme="minorHAnsi"/>
        </w:rPr>
        <w:t>Workforce recruitment, retention, and resiliency;</w:t>
      </w:r>
    </w:p>
    <w:p w14:paraId="65673051" w14:textId="77777777" w:rsidR="00FD7802" w:rsidRPr="00FD7802" w:rsidRDefault="00FD7802" w:rsidP="00FD7802">
      <w:pPr>
        <w:pStyle w:val="ListParagraph"/>
        <w:widowControl w:val="0"/>
        <w:numPr>
          <w:ilvl w:val="0"/>
          <w:numId w:val="3"/>
        </w:numPr>
        <w:tabs>
          <w:tab w:val="left" w:pos="820"/>
          <w:tab w:val="left" w:pos="821"/>
        </w:tabs>
        <w:autoSpaceDE w:val="0"/>
        <w:autoSpaceDN w:val="0"/>
        <w:spacing w:after="0" w:line="282" w:lineRule="exact"/>
        <w:ind w:hanging="361"/>
        <w:contextualSpacing w:val="0"/>
        <w:rPr>
          <w:rFonts w:cstheme="minorHAnsi"/>
        </w:rPr>
      </w:pPr>
      <w:r w:rsidRPr="00FD7802">
        <w:rPr>
          <w:rFonts w:cstheme="minorHAnsi"/>
        </w:rPr>
        <w:t>Innovations to improve patient satisfaction and retention; and</w:t>
      </w:r>
    </w:p>
    <w:p w14:paraId="42B581B7" w14:textId="48A43F91" w:rsidR="00FD7802" w:rsidRPr="00FD7802" w:rsidRDefault="00FD7802" w:rsidP="00FD7802">
      <w:pPr>
        <w:pStyle w:val="ListParagraph"/>
        <w:widowControl w:val="0"/>
        <w:numPr>
          <w:ilvl w:val="0"/>
          <w:numId w:val="3"/>
        </w:numPr>
        <w:tabs>
          <w:tab w:val="left" w:pos="820"/>
          <w:tab w:val="left" w:pos="821"/>
        </w:tabs>
        <w:autoSpaceDE w:val="0"/>
        <w:autoSpaceDN w:val="0"/>
        <w:spacing w:after="0" w:line="242" w:lineRule="auto"/>
        <w:ind w:right="123"/>
        <w:contextualSpacing w:val="0"/>
        <w:rPr>
          <w:rFonts w:cstheme="minorHAnsi"/>
        </w:rPr>
      </w:pPr>
      <w:r w:rsidRPr="00FD7802">
        <w:rPr>
          <w:rFonts w:cstheme="minorHAnsi"/>
        </w:rPr>
        <w:t>Readiness for a FQHC capitated Alternative Payment Methodology (APM) to align care delivery models with value-based payment and health equity goals. An APM provides greater flexibility for meeting patient care needs, helps reduce the unnecessary utilization of services, and has the potential to improve the patient experience.</w:t>
      </w:r>
    </w:p>
    <w:p w14:paraId="086BED44" w14:textId="77777777" w:rsidR="00FD7802" w:rsidRPr="00702576" w:rsidRDefault="00FD7802" w:rsidP="00507E69">
      <w:pPr>
        <w:spacing w:after="0"/>
        <w:rPr>
          <w:rFonts w:cstheme="minorHAnsi"/>
        </w:rPr>
      </w:pPr>
    </w:p>
    <w:p w14:paraId="6F92E96F" w14:textId="77777777" w:rsidR="00507E69" w:rsidRPr="00507E69" w:rsidRDefault="00507E69" w:rsidP="00586D8D">
      <w:pPr>
        <w:ind w:firstLine="460"/>
        <w:rPr>
          <w:rFonts w:cstheme="minorHAnsi"/>
          <w:b/>
          <w:bCs/>
          <w:i/>
          <w:lang w:bidi="en-US"/>
        </w:rPr>
      </w:pPr>
      <w:r w:rsidRPr="00507E69">
        <w:rPr>
          <w:rFonts w:cstheme="minorHAnsi"/>
          <w:b/>
          <w:bCs/>
          <w:i/>
          <w:lang w:bidi="en-US"/>
        </w:rPr>
        <w:t>Investment in FQHC-led IPAs</w:t>
      </w:r>
    </w:p>
    <w:p w14:paraId="151239D9" w14:textId="34AE34A7" w:rsidR="00507E69" w:rsidRDefault="00FE4515" w:rsidP="00507E69">
      <w:pPr>
        <w:rPr>
          <w:rFonts w:cstheme="minorHAnsi"/>
          <w:lang w:bidi="en-US"/>
        </w:rPr>
      </w:pPr>
      <w:r>
        <w:rPr>
          <w:rFonts w:cstheme="minorHAnsi"/>
          <w:lang w:bidi="en-US"/>
        </w:rPr>
        <w:t>We request</w:t>
      </w:r>
      <w:r w:rsidR="00507E69" w:rsidRPr="00507E69">
        <w:rPr>
          <w:rFonts w:cstheme="minorHAnsi"/>
          <w:lang w:bidi="en-US"/>
        </w:rPr>
        <w:t xml:space="preserve"> targeted investment for capacity building at existing FQHC-led IPAs to strengthen FQHC engagement in VBP contracting. Many FQHCs have formed or joined Independent Practice</w:t>
      </w:r>
      <w:r w:rsidR="00507E69">
        <w:rPr>
          <w:rFonts w:cstheme="minorHAnsi"/>
          <w:lang w:bidi="en-US"/>
        </w:rPr>
        <w:t xml:space="preserve"> </w:t>
      </w:r>
      <w:r w:rsidR="00507E69" w:rsidRPr="00507E69">
        <w:rPr>
          <w:rFonts w:cstheme="minorHAnsi"/>
          <w:lang w:bidi="en-US"/>
        </w:rPr>
        <w:t>Associations (IPAs) in partnership with other FQHCs, primary care providers, behavioral health agencies, and Community-Based Organizations (CBOs). IPAs are the primary vehicle through which FQHCs participate in advanced VBP arrangements. IPAs enable FQHCs to better address population health and coordinate with behavioral health organizations and social services agencies. IPAs identify high-risk FQHC patients and connect them to the appropriate level of care. However, FQHC-led IPAs remain self-funded and challenged to develop needed infrastructure. The State must make investments in FQHC-led IPAs to support the technical infrastructure and data analytic capabilities needed to effectively manage population health, drive improved outcomes, ensure connectivity with social care needs providers, and be high performers in value-based contracts.</w:t>
      </w:r>
    </w:p>
    <w:p w14:paraId="59061C12" w14:textId="444F473B" w:rsidR="003A467D" w:rsidRPr="004D14C7" w:rsidRDefault="003A467D" w:rsidP="00586D8D">
      <w:pPr>
        <w:ind w:firstLine="720"/>
        <w:rPr>
          <w:rFonts w:cstheme="minorHAnsi"/>
          <w:b/>
          <w:bCs/>
          <w:i/>
          <w:iCs/>
          <w:lang w:bidi="en-US"/>
        </w:rPr>
      </w:pPr>
      <w:r w:rsidRPr="004D14C7">
        <w:rPr>
          <w:rFonts w:cstheme="minorHAnsi"/>
          <w:b/>
          <w:bCs/>
          <w:i/>
          <w:iCs/>
          <w:lang w:bidi="en-US"/>
        </w:rPr>
        <w:t>FQHC Rate Reform</w:t>
      </w:r>
    </w:p>
    <w:p w14:paraId="2EE3D9DF" w14:textId="1B38977A" w:rsidR="003A467D" w:rsidRPr="003A467D" w:rsidRDefault="003A467D" w:rsidP="003A467D">
      <w:pPr>
        <w:pStyle w:val="BodyText"/>
        <w:spacing w:before="188" w:line="242" w:lineRule="auto"/>
        <w:ind w:left="0" w:right="294"/>
        <w:rPr>
          <w:rFonts w:asciiTheme="minorHAnsi" w:eastAsiaTheme="minorHAnsi" w:hAnsiTheme="minorHAnsi" w:cstheme="minorHAnsi"/>
        </w:rPr>
      </w:pPr>
      <w:r w:rsidRPr="003A467D">
        <w:rPr>
          <w:rFonts w:asciiTheme="minorHAnsi" w:eastAsiaTheme="minorHAnsi" w:hAnsiTheme="minorHAnsi" w:cstheme="minorHAnsi"/>
        </w:rPr>
        <w:t>FQHCs are the primary care safety</w:t>
      </w:r>
      <w:r w:rsidR="00300EBD">
        <w:rPr>
          <w:rFonts w:asciiTheme="minorHAnsi" w:eastAsiaTheme="minorHAnsi" w:hAnsiTheme="minorHAnsi" w:cstheme="minorHAnsi"/>
        </w:rPr>
        <w:t>-</w:t>
      </w:r>
      <w:r w:rsidRPr="003A467D">
        <w:rPr>
          <w:rFonts w:asciiTheme="minorHAnsi" w:eastAsiaTheme="minorHAnsi" w:hAnsiTheme="minorHAnsi" w:cstheme="minorHAnsi"/>
        </w:rPr>
        <w:t>net for millions of impoverished New Yorkers and are often the provider of choice in medically underserved communities. For many years, FQHCs have been facing rising operating costs that far exceed reimbursement</w:t>
      </w:r>
      <w:r w:rsidR="00E40482">
        <w:rPr>
          <w:rFonts w:asciiTheme="minorHAnsi" w:eastAsiaTheme="minorHAnsi" w:hAnsiTheme="minorHAnsi" w:cstheme="minorHAnsi"/>
        </w:rPr>
        <w:t>, most recently including astronomical increases in workforce costs</w:t>
      </w:r>
      <w:r w:rsidRPr="003A467D">
        <w:rPr>
          <w:rFonts w:asciiTheme="minorHAnsi" w:eastAsiaTheme="minorHAnsi" w:hAnsiTheme="minorHAnsi" w:cstheme="minorHAnsi"/>
        </w:rPr>
        <w:t xml:space="preserve">. Federal COVID funding provided temporary relief that allowed </w:t>
      </w:r>
      <w:r w:rsidR="0061754D">
        <w:rPr>
          <w:rFonts w:asciiTheme="minorHAnsi" w:eastAsiaTheme="minorHAnsi" w:hAnsiTheme="minorHAnsi" w:cstheme="minorHAnsi"/>
        </w:rPr>
        <w:t>FQHCs</w:t>
      </w:r>
      <w:r w:rsidRPr="003A467D">
        <w:rPr>
          <w:rFonts w:asciiTheme="minorHAnsi" w:eastAsiaTheme="minorHAnsi" w:hAnsiTheme="minorHAnsi" w:cstheme="minorHAnsi"/>
        </w:rPr>
        <w:t xml:space="preserve"> to continue providing essential care during the pandemic and forestalled catastrophic operating losses. FQHCs are now preparing for the end of this enhanced </w:t>
      </w:r>
      <w:r w:rsidR="0061754D">
        <w:rPr>
          <w:rFonts w:asciiTheme="minorHAnsi" w:eastAsiaTheme="minorHAnsi" w:hAnsiTheme="minorHAnsi" w:cstheme="minorHAnsi"/>
        </w:rPr>
        <w:t>f</w:t>
      </w:r>
      <w:r w:rsidRPr="003A467D">
        <w:rPr>
          <w:rFonts w:asciiTheme="minorHAnsi" w:eastAsiaTheme="minorHAnsi" w:hAnsiTheme="minorHAnsi" w:cstheme="minorHAnsi"/>
        </w:rPr>
        <w:t xml:space="preserve">ederal funding and face new pressures on operating costs. FQHC reimbursement rates must be reformed to sustain </w:t>
      </w:r>
      <w:r w:rsidR="000B2296">
        <w:rPr>
          <w:rFonts w:asciiTheme="minorHAnsi" w:eastAsiaTheme="minorHAnsi" w:hAnsiTheme="minorHAnsi" w:cstheme="minorHAnsi"/>
        </w:rPr>
        <w:t>FQHC</w:t>
      </w:r>
      <w:r w:rsidRPr="003A467D">
        <w:rPr>
          <w:rFonts w:asciiTheme="minorHAnsi" w:eastAsiaTheme="minorHAnsi" w:hAnsiTheme="minorHAnsi" w:cstheme="minorHAnsi"/>
        </w:rPr>
        <w:t xml:space="preserve"> operations and support the </w:t>
      </w:r>
      <w:r w:rsidR="00D879CE">
        <w:rPr>
          <w:rFonts w:asciiTheme="minorHAnsi" w:eastAsiaTheme="minorHAnsi" w:hAnsiTheme="minorHAnsi" w:cstheme="minorHAnsi"/>
        </w:rPr>
        <w:lastRenderedPageBreak/>
        <w:t xml:space="preserve">sustainability of </w:t>
      </w:r>
      <w:r w:rsidRPr="003A467D">
        <w:rPr>
          <w:rFonts w:asciiTheme="minorHAnsi" w:eastAsiaTheme="minorHAnsi" w:hAnsiTheme="minorHAnsi" w:cstheme="minorHAnsi"/>
        </w:rPr>
        <w:t>innovations in the health delivery system</w:t>
      </w:r>
      <w:r w:rsidR="00DE5F4C">
        <w:rPr>
          <w:rFonts w:asciiTheme="minorHAnsi" w:eastAsiaTheme="minorHAnsi" w:hAnsiTheme="minorHAnsi" w:cstheme="minorHAnsi"/>
        </w:rPr>
        <w:t xml:space="preserve"> implemented by the 1115 waiver.</w:t>
      </w:r>
    </w:p>
    <w:p w14:paraId="762A0E16" w14:textId="77777777" w:rsidR="003A467D" w:rsidRPr="003A467D" w:rsidRDefault="003A467D" w:rsidP="003A467D">
      <w:pPr>
        <w:pStyle w:val="BodyText"/>
        <w:spacing w:before="6"/>
        <w:ind w:left="0"/>
        <w:rPr>
          <w:rFonts w:asciiTheme="minorHAnsi" w:eastAsiaTheme="minorHAnsi" w:hAnsiTheme="minorHAnsi" w:cstheme="minorHAnsi"/>
        </w:rPr>
      </w:pPr>
    </w:p>
    <w:p w14:paraId="466B462C" w14:textId="77777777" w:rsidR="003A467D" w:rsidRPr="003A467D" w:rsidRDefault="003A467D" w:rsidP="003A467D">
      <w:pPr>
        <w:pStyle w:val="BodyText"/>
        <w:spacing w:before="1"/>
        <w:ind w:left="0"/>
        <w:rPr>
          <w:rFonts w:asciiTheme="minorHAnsi" w:eastAsiaTheme="minorHAnsi" w:hAnsiTheme="minorHAnsi" w:cstheme="minorHAnsi"/>
        </w:rPr>
      </w:pPr>
      <w:r w:rsidRPr="003A467D">
        <w:rPr>
          <w:rFonts w:asciiTheme="minorHAnsi" w:eastAsiaTheme="minorHAnsi" w:hAnsiTheme="minorHAnsi" w:cstheme="minorHAnsi"/>
        </w:rPr>
        <w:t>Innovation in FQHC rate reform must reflect:</w:t>
      </w:r>
    </w:p>
    <w:p w14:paraId="1C6FDA48" w14:textId="785763EE" w:rsidR="003A467D" w:rsidRPr="003A467D" w:rsidRDefault="003A467D" w:rsidP="003A467D">
      <w:pPr>
        <w:pStyle w:val="ListParagraph"/>
        <w:widowControl w:val="0"/>
        <w:numPr>
          <w:ilvl w:val="0"/>
          <w:numId w:val="3"/>
        </w:numPr>
        <w:tabs>
          <w:tab w:val="left" w:pos="820"/>
          <w:tab w:val="left" w:pos="821"/>
        </w:tabs>
        <w:autoSpaceDE w:val="0"/>
        <w:autoSpaceDN w:val="0"/>
        <w:spacing w:after="0" w:line="242" w:lineRule="auto"/>
        <w:ind w:right="1806"/>
        <w:contextualSpacing w:val="0"/>
        <w:rPr>
          <w:rFonts w:cstheme="minorHAnsi"/>
          <w:lang w:bidi="en-US"/>
        </w:rPr>
      </w:pPr>
      <w:r w:rsidRPr="003A467D">
        <w:rPr>
          <w:rFonts w:cstheme="minorHAnsi"/>
          <w:lang w:bidi="en-US"/>
        </w:rPr>
        <w:t>Comprehensive analysis of operating costs, including workforce</w:t>
      </w:r>
      <w:r w:rsidR="00677E92">
        <w:rPr>
          <w:rFonts w:cstheme="minorHAnsi"/>
          <w:lang w:bidi="en-US"/>
        </w:rPr>
        <w:t xml:space="preserve"> </w:t>
      </w:r>
      <w:r w:rsidRPr="003A467D">
        <w:rPr>
          <w:rFonts w:cstheme="minorHAnsi"/>
          <w:lang w:bidi="en-US"/>
        </w:rPr>
        <w:t>recruitment/retention needs;</w:t>
      </w:r>
    </w:p>
    <w:p w14:paraId="7B57B647" w14:textId="77777777" w:rsidR="003A467D" w:rsidRDefault="003A467D" w:rsidP="003A467D">
      <w:pPr>
        <w:pStyle w:val="ListParagraph"/>
        <w:widowControl w:val="0"/>
        <w:numPr>
          <w:ilvl w:val="0"/>
          <w:numId w:val="3"/>
        </w:numPr>
        <w:tabs>
          <w:tab w:val="left" w:pos="820"/>
          <w:tab w:val="left" w:pos="821"/>
        </w:tabs>
        <w:autoSpaceDE w:val="0"/>
        <w:autoSpaceDN w:val="0"/>
        <w:spacing w:after="0" w:line="242" w:lineRule="auto"/>
        <w:ind w:right="514"/>
        <w:contextualSpacing w:val="0"/>
        <w:rPr>
          <w:rFonts w:cstheme="minorHAnsi"/>
          <w:lang w:bidi="en-US"/>
        </w:rPr>
      </w:pPr>
      <w:r w:rsidRPr="003A467D">
        <w:rPr>
          <w:rFonts w:cstheme="minorHAnsi"/>
          <w:lang w:bidi="en-US"/>
        </w:rPr>
        <w:t>The full spectrum of FQHC services, including many social care services that FQHCs provide directly;</w:t>
      </w:r>
    </w:p>
    <w:p w14:paraId="361343B8" w14:textId="61BFECAC" w:rsidR="003A467D" w:rsidRPr="003A467D" w:rsidRDefault="003A467D" w:rsidP="003A467D">
      <w:pPr>
        <w:pStyle w:val="ListParagraph"/>
        <w:widowControl w:val="0"/>
        <w:numPr>
          <w:ilvl w:val="0"/>
          <w:numId w:val="3"/>
        </w:numPr>
        <w:tabs>
          <w:tab w:val="left" w:pos="820"/>
          <w:tab w:val="left" w:pos="821"/>
        </w:tabs>
        <w:autoSpaceDE w:val="0"/>
        <w:autoSpaceDN w:val="0"/>
        <w:spacing w:after="0" w:line="242" w:lineRule="auto"/>
        <w:ind w:right="514"/>
        <w:contextualSpacing w:val="0"/>
        <w:rPr>
          <w:rFonts w:cstheme="minorHAnsi"/>
          <w:lang w:bidi="en-US"/>
        </w:rPr>
      </w:pPr>
      <w:r w:rsidRPr="003A467D">
        <w:rPr>
          <w:rFonts w:cstheme="minorHAnsi"/>
          <w:lang w:bidi="en-US"/>
        </w:rPr>
        <w:t xml:space="preserve">Sustainability of waiver initiatives, such as expanded interventions focused on health equity and population health improvement for the large proportion of the Medicaid population served by </w:t>
      </w:r>
      <w:r w:rsidR="00AB3F46">
        <w:rPr>
          <w:rFonts w:cstheme="minorHAnsi"/>
          <w:lang w:bidi="en-US"/>
        </w:rPr>
        <w:t>FQHCs</w:t>
      </w:r>
      <w:r w:rsidRPr="003A467D">
        <w:rPr>
          <w:rFonts w:cstheme="minorHAnsi"/>
          <w:lang w:bidi="en-US"/>
        </w:rPr>
        <w:t>; and</w:t>
      </w:r>
    </w:p>
    <w:p w14:paraId="352A7B34" w14:textId="0C0EC7F1" w:rsidR="008B61F0" w:rsidRDefault="003A467D" w:rsidP="008B61F0">
      <w:pPr>
        <w:pStyle w:val="ListParagraph"/>
        <w:widowControl w:val="0"/>
        <w:numPr>
          <w:ilvl w:val="0"/>
          <w:numId w:val="3"/>
        </w:numPr>
        <w:tabs>
          <w:tab w:val="left" w:pos="820"/>
          <w:tab w:val="left" w:pos="821"/>
        </w:tabs>
        <w:autoSpaceDE w:val="0"/>
        <w:autoSpaceDN w:val="0"/>
        <w:spacing w:after="0" w:line="242" w:lineRule="auto"/>
        <w:ind w:right="447"/>
        <w:contextualSpacing w:val="0"/>
        <w:rPr>
          <w:rFonts w:cstheme="minorHAnsi"/>
          <w:lang w:bidi="en-US"/>
        </w:rPr>
      </w:pPr>
      <w:r w:rsidRPr="003A467D">
        <w:rPr>
          <w:rFonts w:cstheme="minorHAnsi"/>
          <w:lang w:bidi="en-US"/>
        </w:rPr>
        <w:t>A commitment from the State to increase the percentage of healthcare spending allocated to community-based primary care to promote preventive care and improve health outcomes.</w:t>
      </w:r>
    </w:p>
    <w:p w14:paraId="15B97A2E" w14:textId="77777777" w:rsidR="00697F17" w:rsidRPr="00697F17" w:rsidRDefault="00697F17" w:rsidP="00697F17">
      <w:pPr>
        <w:pStyle w:val="ListParagraph"/>
        <w:widowControl w:val="0"/>
        <w:tabs>
          <w:tab w:val="left" w:pos="820"/>
          <w:tab w:val="left" w:pos="821"/>
        </w:tabs>
        <w:autoSpaceDE w:val="0"/>
        <w:autoSpaceDN w:val="0"/>
        <w:spacing w:after="0" w:line="242" w:lineRule="auto"/>
        <w:ind w:left="820" w:right="447"/>
        <w:contextualSpacing w:val="0"/>
        <w:rPr>
          <w:rFonts w:cstheme="minorHAnsi"/>
          <w:lang w:bidi="en-US"/>
        </w:rPr>
      </w:pPr>
    </w:p>
    <w:p w14:paraId="4F62894F" w14:textId="0FE1840E" w:rsidR="008B61F0" w:rsidRPr="008B61F0" w:rsidRDefault="008B61F0" w:rsidP="00742C05">
      <w:pPr>
        <w:rPr>
          <w:b/>
          <w:bCs/>
          <w:u w:val="single"/>
        </w:rPr>
      </w:pPr>
      <w:r w:rsidRPr="008B61F0">
        <w:rPr>
          <w:b/>
          <w:bCs/>
          <w:u w:val="single"/>
        </w:rPr>
        <w:t>FQHC Participation in Advanced Value-Based Arrangements</w:t>
      </w:r>
    </w:p>
    <w:p w14:paraId="7AE2420F" w14:textId="04288E8A" w:rsidR="008B61F0" w:rsidRPr="00EF1544" w:rsidRDefault="008B61F0" w:rsidP="00EF1544">
      <w:pPr>
        <w:ind w:firstLine="720"/>
        <w:rPr>
          <w:b/>
          <w:bCs/>
          <w:i/>
          <w:iCs/>
        </w:rPr>
      </w:pPr>
      <w:r w:rsidRPr="00EF1544">
        <w:rPr>
          <w:b/>
          <w:bCs/>
          <w:i/>
          <w:iCs/>
        </w:rPr>
        <w:t xml:space="preserve">Improve Transparency Between Providers &amp; Plans </w:t>
      </w:r>
    </w:p>
    <w:p w14:paraId="550D33F5" w14:textId="785475C5" w:rsidR="008B61F0" w:rsidRPr="00610059" w:rsidRDefault="008B61F0" w:rsidP="008B61F0">
      <w:r>
        <w:t xml:space="preserve">Providers and health plans do not have equal footing when negotiating and implementing VBP contracts. Due to plans’ proprietary risk stratification methodologies, it is difficult for </w:t>
      </w:r>
      <w:r w:rsidR="002A36CC">
        <w:t>FQHCs</w:t>
      </w:r>
      <w:r>
        <w:t xml:space="preserve"> and independent practice associations (IPAs) to understand exactly how their patient populations’ health and social risk is being measured by the plan. Additionally, medical loss ratio and avoidable hospitalization calculations are not always explicit. Providers often do not receive timely information around patient attribution and patient utilization that occurs outside of the </w:t>
      </w:r>
      <w:r w:rsidR="000B2296">
        <w:t>FQHC</w:t>
      </w:r>
      <w:r>
        <w:t xml:space="preserve">. For a provider to ensure success in VBP, the State must define and enforce minimum intervals for “timely” sharing of data from MCOs to VBP contractors.  </w:t>
      </w:r>
      <w:r w:rsidR="004E40D7">
        <w:t>We support</w:t>
      </w:r>
      <w:r>
        <w:t xml:space="preserve"> the State’s intent to establish</w:t>
      </w:r>
      <w:r w:rsidRPr="00871328">
        <w:t xml:space="preserve"> a statewide data store supported by the existing infrastructure of the SHIN-NY to provide near real-time insights into waiver activities such as screenings, referrals, and service outcomes.</w:t>
      </w:r>
      <w:r>
        <w:t xml:space="preserve"> VBP contractors must also have access to the full range of plan data on a regular basis: monthly claims, risk score calculation, timely care gap data, and patient rosters. </w:t>
      </w:r>
    </w:p>
    <w:p w14:paraId="09015C37" w14:textId="3CF0B490" w:rsidR="00F456FA" w:rsidRPr="00EF1544" w:rsidRDefault="00F45508" w:rsidP="00EF1544">
      <w:pPr>
        <w:autoSpaceDE w:val="0"/>
        <w:autoSpaceDN w:val="0"/>
        <w:adjustRightInd w:val="0"/>
        <w:ind w:firstLine="720"/>
        <w:rPr>
          <w:rFonts w:cstheme="minorHAnsi"/>
          <w:b/>
          <w:bCs/>
          <w:i/>
          <w:iCs/>
          <w:color w:val="000000"/>
        </w:rPr>
      </w:pPr>
      <w:r w:rsidRPr="00EF1544">
        <w:rPr>
          <w:rFonts w:cstheme="minorHAnsi"/>
          <w:b/>
          <w:bCs/>
          <w:i/>
          <w:iCs/>
          <w:color w:val="000000"/>
        </w:rPr>
        <w:t xml:space="preserve">Require MCOs to Contract with </w:t>
      </w:r>
      <w:r w:rsidR="00B069AE">
        <w:rPr>
          <w:rFonts w:cstheme="minorHAnsi"/>
          <w:b/>
          <w:bCs/>
          <w:i/>
          <w:iCs/>
          <w:color w:val="000000"/>
        </w:rPr>
        <w:t>FQHC</w:t>
      </w:r>
      <w:r w:rsidRPr="00EF1544">
        <w:rPr>
          <w:rFonts w:cstheme="minorHAnsi"/>
          <w:b/>
          <w:bCs/>
          <w:i/>
          <w:iCs/>
          <w:color w:val="000000"/>
        </w:rPr>
        <w:t>-Led IPAs</w:t>
      </w:r>
    </w:p>
    <w:p w14:paraId="2DA4FF0D" w14:textId="2A35FBAE" w:rsidR="00083CA9" w:rsidRPr="00702576" w:rsidRDefault="00B24E01" w:rsidP="00F63F4A">
      <w:pPr>
        <w:autoSpaceDE w:val="0"/>
        <w:autoSpaceDN w:val="0"/>
        <w:adjustRightInd w:val="0"/>
        <w:rPr>
          <w:rFonts w:cstheme="minorHAnsi"/>
        </w:rPr>
      </w:pPr>
      <w:r w:rsidRPr="00702576">
        <w:rPr>
          <w:rFonts w:cstheme="minorHAnsi"/>
          <w:color w:val="000000"/>
        </w:rPr>
        <w:t>Currently</w:t>
      </w:r>
      <w:r w:rsidR="005E110E" w:rsidRPr="00702576">
        <w:rPr>
          <w:rFonts w:cstheme="minorHAnsi"/>
          <w:color w:val="000000"/>
        </w:rPr>
        <w:t>,</w:t>
      </w:r>
      <w:r w:rsidR="00104C6E" w:rsidRPr="00702576">
        <w:rPr>
          <w:rFonts w:cstheme="minorHAnsi"/>
          <w:color w:val="000000"/>
        </w:rPr>
        <w:t xml:space="preserve"> </w:t>
      </w:r>
      <w:r w:rsidR="00C46A97" w:rsidRPr="00702576">
        <w:rPr>
          <w:rFonts w:cstheme="minorHAnsi"/>
          <w:color w:val="000000"/>
        </w:rPr>
        <w:t>the State sets</w:t>
      </w:r>
      <w:r w:rsidR="00104C6E" w:rsidRPr="00702576">
        <w:rPr>
          <w:rFonts w:cstheme="minorHAnsi"/>
          <w:color w:val="000000"/>
        </w:rPr>
        <w:t xml:space="preserve"> minimum goals for dollars captured in </w:t>
      </w:r>
      <w:r w:rsidR="0064783C" w:rsidRPr="00702576">
        <w:rPr>
          <w:rFonts w:cstheme="minorHAnsi"/>
          <w:color w:val="000000"/>
        </w:rPr>
        <w:t xml:space="preserve">arrangements by </w:t>
      </w:r>
      <w:r w:rsidR="00104C6E" w:rsidRPr="00702576">
        <w:rPr>
          <w:rFonts w:cstheme="minorHAnsi"/>
          <w:color w:val="000000"/>
        </w:rPr>
        <w:t>Level 1 and Level 2 or higher</w:t>
      </w:r>
      <w:r w:rsidR="00672DCD">
        <w:rPr>
          <w:rFonts w:cstheme="minorHAnsi"/>
          <w:color w:val="000000"/>
        </w:rPr>
        <w:t xml:space="preserve"> as defined in the State’s Value Based Payment Roadmap</w:t>
      </w:r>
      <w:r w:rsidR="00104C6E" w:rsidRPr="00702576">
        <w:rPr>
          <w:rFonts w:cstheme="minorHAnsi"/>
          <w:color w:val="000000"/>
        </w:rPr>
        <w:t>. However, these goals do not consider provider types in each Level of VBP contracting and leaves full discretion to MCOs on whether to enter into VBP arrangements with certain providers. This has restricted willing and capable community-based primary care providers from participating in VBP arrangements with certain MCOs</w:t>
      </w:r>
      <w:r w:rsidR="00E42AE3">
        <w:rPr>
          <w:rFonts w:cstheme="minorHAnsi"/>
          <w:color w:val="000000"/>
        </w:rPr>
        <w:t xml:space="preserve">, if the MCO believes they have sufficiently met VBP contracting targets </w:t>
      </w:r>
      <w:r w:rsidR="00EF2C82">
        <w:rPr>
          <w:rFonts w:cstheme="minorHAnsi"/>
          <w:color w:val="000000"/>
        </w:rPr>
        <w:t>with other provider types</w:t>
      </w:r>
      <w:r w:rsidR="00104C6E" w:rsidRPr="00702576">
        <w:rPr>
          <w:rFonts w:cstheme="minorHAnsi"/>
          <w:color w:val="000000"/>
        </w:rPr>
        <w:t xml:space="preserve">. </w:t>
      </w:r>
      <w:r w:rsidR="004E40D7">
        <w:rPr>
          <w:rFonts w:cstheme="minorHAnsi"/>
          <w:color w:val="000000"/>
        </w:rPr>
        <w:t>We request</w:t>
      </w:r>
      <w:r w:rsidR="00104C6E" w:rsidRPr="00702576">
        <w:rPr>
          <w:rFonts w:cstheme="minorHAnsi"/>
          <w:color w:val="000000"/>
        </w:rPr>
        <w:t xml:space="preserve"> that the State </w:t>
      </w:r>
      <w:r w:rsidR="00A4715C" w:rsidRPr="00702576">
        <w:rPr>
          <w:rFonts w:cstheme="minorHAnsi"/>
          <w:color w:val="000000"/>
        </w:rPr>
        <w:t>set</w:t>
      </w:r>
      <w:r w:rsidR="00104C6E" w:rsidRPr="00702576">
        <w:rPr>
          <w:rFonts w:cstheme="minorHAnsi"/>
          <w:color w:val="000000"/>
        </w:rPr>
        <w:t xml:space="preserve"> requirements for MCOs to enter into VBP arrangements</w:t>
      </w:r>
      <w:r w:rsidR="00F86EC2" w:rsidRPr="00702576">
        <w:rPr>
          <w:rFonts w:cstheme="minorHAnsi"/>
          <w:color w:val="000000"/>
        </w:rPr>
        <w:t xml:space="preserve">, through a lead contractor such as a </w:t>
      </w:r>
      <w:r w:rsidR="00B319DD" w:rsidRPr="00702576">
        <w:rPr>
          <w:rFonts w:cstheme="minorHAnsi"/>
          <w:color w:val="000000"/>
        </w:rPr>
        <w:t>FQHC</w:t>
      </w:r>
      <w:r w:rsidR="00F86EC2" w:rsidRPr="00702576">
        <w:rPr>
          <w:rFonts w:cstheme="minorHAnsi"/>
          <w:color w:val="000000"/>
        </w:rPr>
        <w:t>-led IPA,</w:t>
      </w:r>
      <w:r w:rsidR="005B69CA" w:rsidRPr="00702576">
        <w:rPr>
          <w:rFonts w:cstheme="minorHAnsi"/>
          <w:color w:val="000000"/>
        </w:rPr>
        <w:t xml:space="preserve"> </w:t>
      </w:r>
      <w:r w:rsidR="00104C6E" w:rsidRPr="00702576">
        <w:rPr>
          <w:rFonts w:cstheme="minorHAnsi"/>
          <w:color w:val="000000"/>
        </w:rPr>
        <w:t xml:space="preserve">with </w:t>
      </w:r>
      <w:r w:rsidR="007F2774">
        <w:rPr>
          <w:rFonts w:cstheme="minorHAnsi"/>
          <w:color w:val="000000"/>
        </w:rPr>
        <w:t>FQHCs</w:t>
      </w:r>
      <w:r w:rsidR="00104C6E" w:rsidRPr="00702576">
        <w:rPr>
          <w:rFonts w:cstheme="minorHAnsi"/>
          <w:color w:val="000000"/>
        </w:rPr>
        <w:t xml:space="preserve"> who meet a minimum percentage of the provider’s patients covered by the MCO.</w:t>
      </w:r>
      <w:r w:rsidR="00946C08" w:rsidRPr="00702576">
        <w:rPr>
          <w:rFonts w:cstheme="minorHAnsi"/>
          <w:color w:val="000000"/>
        </w:rPr>
        <w:t xml:space="preserve"> </w:t>
      </w:r>
    </w:p>
    <w:p w14:paraId="39586B3E" w14:textId="39388507" w:rsidR="002A632A" w:rsidRPr="00EF1544" w:rsidRDefault="001B222B" w:rsidP="00EF1544">
      <w:pPr>
        <w:ind w:firstLine="720"/>
        <w:rPr>
          <w:rFonts w:cstheme="minorHAnsi"/>
          <w:b/>
          <w:bCs/>
          <w:i/>
          <w:iCs/>
        </w:rPr>
      </w:pPr>
      <w:r w:rsidRPr="00EF1544">
        <w:rPr>
          <w:rFonts w:cstheme="minorHAnsi"/>
          <w:b/>
          <w:bCs/>
          <w:i/>
          <w:iCs/>
        </w:rPr>
        <w:t xml:space="preserve">Primary Care </w:t>
      </w:r>
      <w:r w:rsidR="00AC716E" w:rsidRPr="00EF1544">
        <w:rPr>
          <w:rFonts w:cstheme="minorHAnsi"/>
          <w:b/>
          <w:bCs/>
          <w:i/>
          <w:iCs/>
        </w:rPr>
        <w:t>Attribution</w:t>
      </w:r>
      <w:r w:rsidR="00F45508" w:rsidRPr="00EF1544">
        <w:rPr>
          <w:rFonts w:cstheme="minorHAnsi"/>
          <w:b/>
          <w:bCs/>
          <w:i/>
          <w:iCs/>
        </w:rPr>
        <w:t xml:space="preserve"> Methodology</w:t>
      </w:r>
    </w:p>
    <w:p w14:paraId="2C85C268" w14:textId="77777777" w:rsidR="006C59AE" w:rsidRDefault="00877E93" w:rsidP="006C59AE">
      <w:pPr>
        <w:rPr>
          <w:rFonts w:cstheme="minorHAnsi"/>
        </w:rPr>
      </w:pPr>
      <w:r w:rsidRPr="00702576">
        <w:rPr>
          <w:rFonts w:cstheme="minorHAnsi"/>
        </w:rPr>
        <w:t xml:space="preserve">Currently, </w:t>
      </w:r>
      <w:r w:rsidR="00033459" w:rsidRPr="00702576">
        <w:rPr>
          <w:rFonts w:cstheme="minorHAnsi"/>
        </w:rPr>
        <w:t>t</w:t>
      </w:r>
      <w:r w:rsidR="00AC716E" w:rsidRPr="00702576">
        <w:rPr>
          <w:rFonts w:cstheme="minorHAnsi"/>
        </w:rPr>
        <w:t xml:space="preserve">he discrepancies between MCO attribution, consumer utilization, and VBP contractor rosters make </w:t>
      </w:r>
      <w:r w:rsidR="000C5D64">
        <w:rPr>
          <w:rFonts w:cstheme="minorHAnsi"/>
        </w:rPr>
        <w:t xml:space="preserve">it </w:t>
      </w:r>
      <w:r w:rsidR="00D879CE">
        <w:rPr>
          <w:rFonts w:cstheme="minorHAnsi"/>
        </w:rPr>
        <w:t>challenging</w:t>
      </w:r>
      <w:r w:rsidR="00AC716E" w:rsidRPr="00702576">
        <w:rPr>
          <w:rFonts w:cstheme="minorHAnsi"/>
        </w:rPr>
        <w:t xml:space="preserve"> for </w:t>
      </w:r>
      <w:r w:rsidR="000F6101">
        <w:rPr>
          <w:rFonts w:cstheme="minorHAnsi"/>
        </w:rPr>
        <w:t>FQHCs</w:t>
      </w:r>
      <w:r w:rsidR="00AC716E" w:rsidRPr="00702576">
        <w:rPr>
          <w:rFonts w:cstheme="minorHAnsi"/>
        </w:rPr>
        <w:t xml:space="preserve"> to effectively manage patient health outcomes. For example, a </w:t>
      </w:r>
      <w:r w:rsidR="000F6101">
        <w:rPr>
          <w:rFonts w:cstheme="minorHAnsi"/>
        </w:rPr>
        <w:t>FQHC</w:t>
      </w:r>
      <w:r w:rsidR="00AC716E" w:rsidRPr="00702576">
        <w:rPr>
          <w:rFonts w:cstheme="minorHAnsi"/>
        </w:rPr>
        <w:t xml:space="preserve"> </w:t>
      </w:r>
      <w:r w:rsidR="00F34A9D" w:rsidRPr="00702576">
        <w:rPr>
          <w:rFonts w:cstheme="minorHAnsi"/>
        </w:rPr>
        <w:t xml:space="preserve">is currently </w:t>
      </w:r>
      <w:r w:rsidR="00AC716E" w:rsidRPr="00702576">
        <w:rPr>
          <w:rFonts w:cstheme="minorHAnsi"/>
        </w:rPr>
        <w:t>held accountable for patient</w:t>
      </w:r>
      <w:r w:rsidR="00CB7746" w:rsidRPr="00702576">
        <w:rPr>
          <w:rFonts w:cstheme="minorHAnsi"/>
        </w:rPr>
        <w:t xml:space="preserve">s </w:t>
      </w:r>
      <w:r w:rsidR="003D3668" w:rsidRPr="00702576">
        <w:rPr>
          <w:rFonts w:cstheme="minorHAnsi"/>
        </w:rPr>
        <w:t>who are</w:t>
      </w:r>
      <w:r w:rsidR="00AC716E" w:rsidRPr="00702576">
        <w:rPr>
          <w:rFonts w:cstheme="minorHAnsi"/>
        </w:rPr>
        <w:t xml:space="preserve"> </w:t>
      </w:r>
      <w:r w:rsidR="00BF6BCE" w:rsidRPr="00702576">
        <w:rPr>
          <w:rFonts w:cstheme="minorHAnsi"/>
        </w:rPr>
        <w:t>auto assigned</w:t>
      </w:r>
      <w:r w:rsidR="00AC716E" w:rsidRPr="00702576">
        <w:rPr>
          <w:rFonts w:cstheme="minorHAnsi"/>
        </w:rPr>
        <w:t xml:space="preserve"> to the </w:t>
      </w:r>
      <w:r w:rsidR="000F6101">
        <w:rPr>
          <w:rFonts w:cstheme="minorHAnsi"/>
        </w:rPr>
        <w:t>FQHC</w:t>
      </w:r>
      <w:r w:rsidR="00AC716E" w:rsidRPr="00702576">
        <w:rPr>
          <w:rFonts w:cstheme="minorHAnsi"/>
        </w:rPr>
        <w:t xml:space="preserve"> as their primary care provider, but receive primary care elsewhere, and for whom</w:t>
      </w:r>
      <w:r w:rsidR="00EC1441" w:rsidRPr="00702576">
        <w:rPr>
          <w:rFonts w:cstheme="minorHAnsi"/>
        </w:rPr>
        <w:t xml:space="preserve"> MCOs </w:t>
      </w:r>
      <w:r w:rsidR="001D1641" w:rsidRPr="00702576">
        <w:rPr>
          <w:rFonts w:cstheme="minorHAnsi"/>
        </w:rPr>
        <w:t>can</w:t>
      </w:r>
      <w:r w:rsidR="001C0BA8" w:rsidRPr="00702576">
        <w:rPr>
          <w:rFonts w:cstheme="minorHAnsi"/>
        </w:rPr>
        <w:t xml:space="preserve">not </w:t>
      </w:r>
      <w:r w:rsidR="001D1641" w:rsidRPr="00702576">
        <w:rPr>
          <w:rFonts w:cstheme="minorHAnsi"/>
        </w:rPr>
        <w:t xml:space="preserve">provide current </w:t>
      </w:r>
      <w:r w:rsidR="00AC716E" w:rsidRPr="00702576">
        <w:rPr>
          <w:rFonts w:cstheme="minorHAnsi"/>
        </w:rPr>
        <w:t xml:space="preserve">contact </w:t>
      </w:r>
      <w:r w:rsidR="00AC716E" w:rsidRPr="00702576">
        <w:rPr>
          <w:rFonts w:cstheme="minorHAnsi"/>
        </w:rPr>
        <w:lastRenderedPageBreak/>
        <w:t xml:space="preserve">information. A primary care attribution methodology must include the ability to add patients who </w:t>
      </w:r>
      <w:r w:rsidR="008F06D9" w:rsidRPr="00702576">
        <w:rPr>
          <w:rFonts w:cstheme="minorHAnsi"/>
        </w:rPr>
        <w:t>rec</w:t>
      </w:r>
      <w:r w:rsidR="001A7ACA" w:rsidRPr="00702576">
        <w:rPr>
          <w:rFonts w:cstheme="minorHAnsi"/>
        </w:rPr>
        <w:t xml:space="preserve">eive </w:t>
      </w:r>
      <w:r w:rsidR="00573838" w:rsidRPr="00702576">
        <w:rPr>
          <w:rFonts w:cstheme="minorHAnsi"/>
        </w:rPr>
        <w:t>most of</w:t>
      </w:r>
      <w:r w:rsidR="0060655D" w:rsidRPr="00702576">
        <w:rPr>
          <w:rFonts w:cstheme="minorHAnsi"/>
        </w:rPr>
        <w:t xml:space="preserve"> their care </w:t>
      </w:r>
      <w:r w:rsidR="00AC716E" w:rsidRPr="00702576">
        <w:rPr>
          <w:rFonts w:cstheme="minorHAnsi"/>
        </w:rPr>
        <w:t xml:space="preserve">at the FQHC and remove patients who </w:t>
      </w:r>
      <w:r w:rsidR="009777CA" w:rsidRPr="00702576">
        <w:rPr>
          <w:rFonts w:cstheme="minorHAnsi"/>
        </w:rPr>
        <w:t xml:space="preserve">receive </w:t>
      </w:r>
      <w:r w:rsidR="00955248" w:rsidRPr="00702576">
        <w:rPr>
          <w:rFonts w:cstheme="minorHAnsi"/>
        </w:rPr>
        <w:t xml:space="preserve">the majority of care from </w:t>
      </w:r>
      <w:r w:rsidR="00AC716E" w:rsidRPr="00702576">
        <w:rPr>
          <w:rFonts w:cstheme="minorHAnsi"/>
        </w:rPr>
        <w:t xml:space="preserve">other providers. Additionally, the attribution methodology should stipulate that patients with serious mental illness be attributed to behavioral health providers. </w:t>
      </w:r>
      <w:r w:rsidR="006C59AE">
        <w:rPr>
          <w:rFonts w:cstheme="minorHAnsi"/>
        </w:rPr>
        <w:t>We request</w:t>
      </w:r>
      <w:r w:rsidR="00AC716E" w:rsidRPr="00702576">
        <w:rPr>
          <w:rFonts w:cstheme="minorHAnsi"/>
        </w:rPr>
        <w:t xml:space="preserve"> the state to set minimum required standards for primary care-centered attribution, as opposed to the current non-binding guidelines. These required standards should include periodic (i.e., quarterly) reconciliation to actual utilization.</w:t>
      </w:r>
    </w:p>
    <w:p w14:paraId="0C1C6F12" w14:textId="44A5ED19" w:rsidR="00742C05" w:rsidRPr="006C59AE" w:rsidRDefault="00742C05" w:rsidP="006C59AE">
      <w:pPr>
        <w:ind w:firstLine="720"/>
        <w:rPr>
          <w:rFonts w:cstheme="minorHAnsi"/>
        </w:rPr>
      </w:pPr>
      <w:r w:rsidRPr="00742C05">
        <w:rPr>
          <w:rFonts w:cstheme="minorHAnsi"/>
          <w:b/>
          <w:bCs/>
          <w:i/>
          <w:iCs/>
        </w:rPr>
        <w:t>Health Equity Measures and Improvement-Based Targets</w:t>
      </w:r>
    </w:p>
    <w:p w14:paraId="39DDC9A6" w14:textId="4BC44A9A" w:rsidR="00742C05" w:rsidRPr="00702576" w:rsidRDefault="00BB08B7" w:rsidP="00742C05">
      <w:pPr>
        <w:rPr>
          <w:rFonts w:cstheme="minorHAnsi"/>
        </w:rPr>
      </w:pPr>
      <w:r>
        <w:rPr>
          <w:rFonts w:cstheme="minorHAnsi"/>
        </w:rPr>
        <w:t>We are</w:t>
      </w:r>
      <w:r w:rsidR="00742C05" w:rsidRPr="00702576">
        <w:rPr>
          <w:rFonts w:cstheme="minorHAnsi"/>
        </w:rPr>
        <w:t xml:space="preserve"> supportive of the establishment of a statewide measure set through Clinical Advisory Groups (CAGs). A statewide menu of quality metrics will allow HEROs to adopt measures best suited for their region’s population, will standardize measures across plans, and will enable contractors to better meet quality targets. </w:t>
      </w:r>
      <w:r w:rsidR="00D879CE">
        <w:rPr>
          <w:rFonts w:cstheme="minorHAnsi"/>
        </w:rPr>
        <w:t xml:space="preserve">In each region, all VBP contracts should include the same or similar measures, as defined by the HERO, to reduce provider burden. </w:t>
      </w:r>
      <w:r w:rsidR="00742C05" w:rsidRPr="00702576">
        <w:rPr>
          <w:rFonts w:cstheme="minorHAnsi"/>
        </w:rPr>
        <w:t xml:space="preserve">Additionally, the state should set and enforce a maximum total number of quality measures that can be included in a VBP contract. </w:t>
      </w:r>
    </w:p>
    <w:p w14:paraId="7E560466" w14:textId="38E77E28" w:rsidR="00DA7F77" w:rsidRDefault="00742C05" w:rsidP="00742C05">
      <w:pPr>
        <w:spacing w:after="0"/>
      </w:pPr>
      <w:r>
        <w:t xml:space="preserve">Improvement-based targets require that a provider show improvement on a specific metric compared to that same population at baseline, over time. Improvement-based targets avoid penalizing providers who treat individuals with greater social needs or experiencing wider disparities, as is the case for many within the </w:t>
      </w:r>
      <w:r w:rsidR="00B028F3">
        <w:t>FQHC</w:t>
      </w:r>
      <w:r>
        <w:t xml:space="preserve"> population. In cases where measures are stratified by relevant characteristic (e.g. race, ethnicity, language, etc.), improvement based targets with pay for performance rewards the achievement of equity-related goals without penalizing safety</w:t>
      </w:r>
      <w:r w:rsidR="00CE5631">
        <w:t>-</w:t>
      </w:r>
      <w:r>
        <w:t xml:space="preserve">net providers. </w:t>
      </w:r>
    </w:p>
    <w:p w14:paraId="6A0CEFB3" w14:textId="77777777" w:rsidR="00742C05" w:rsidRPr="00742C05" w:rsidRDefault="00742C05" w:rsidP="00742C05">
      <w:pPr>
        <w:spacing w:after="0"/>
      </w:pPr>
    </w:p>
    <w:p w14:paraId="44DF8CE3" w14:textId="7B00046F" w:rsidR="00A337F3" w:rsidRPr="00742C05" w:rsidRDefault="00A337F3" w:rsidP="00F63F4A">
      <w:pPr>
        <w:rPr>
          <w:rFonts w:cstheme="minorHAnsi"/>
          <w:b/>
          <w:bCs/>
          <w:u w:val="single"/>
        </w:rPr>
      </w:pPr>
      <w:r w:rsidRPr="00742C05">
        <w:rPr>
          <w:rFonts w:cstheme="minorHAnsi"/>
          <w:b/>
          <w:bCs/>
          <w:u w:val="single"/>
        </w:rPr>
        <w:t>Workforce</w:t>
      </w:r>
    </w:p>
    <w:p w14:paraId="0475172C" w14:textId="1C671176" w:rsidR="00A337F3" w:rsidRPr="00702576" w:rsidRDefault="00262432" w:rsidP="00F63F4A">
      <w:pPr>
        <w:rPr>
          <w:rFonts w:cstheme="minorHAnsi"/>
        </w:rPr>
      </w:pPr>
      <w:r>
        <w:rPr>
          <w:rFonts w:cstheme="minorHAnsi"/>
        </w:rPr>
        <w:t>We are</w:t>
      </w:r>
      <w:r w:rsidR="00877E93" w:rsidRPr="00702576">
        <w:rPr>
          <w:rFonts w:cstheme="minorHAnsi"/>
        </w:rPr>
        <w:t xml:space="preserve"> supportive of the waiver’s expanded scope of workforce initiatives to provide a wide range of training, recruitment, and retention initiatives across the care continuum. </w:t>
      </w:r>
      <w:r w:rsidR="00D159F6" w:rsidRPr="00702576">
        <w:rPr>
          <w:rFonts w:cstheme="minorHAnsi"/>
        </w:rPr>
        <w:t xml:space="preserve">In addition to investments through </w:t>
      </w:r>
      <w:r w:rsidR="004A1A81" w:rsidRPr="00702576">
        <w:rPr>
          <w:rFonts w:cstheme="minorHAnsi"/>
        </w:rPr>
        <w:t>Workforce Investment Organizations (</w:t>
      </w:r>
      <w:r w:rsidR="00D159F6" w:rsidRPr="00702576">
        <w:rPr>
          <w:rFonts w:cstheme="minorHAnsi"/>
        </w:rPr>
        <w:t>WIOs</w:t>
      </w:r>
      <w:r w:rsidR="004A1A81" w:rsidRPr="00702576">
        <w:rPr>
          <w:rFonts w:cstheme="minorHAnsi"/>
        </w:rPr>
        <w:t>)</w:t>
      </w:r>
      <w:r w:rsidR="00D159F6" w:rsidRPr="00702576">
        <w:rPr>
          <w:rFonts w:cstheme="minorHAnsi"/>
        </w:rPr>
        <w:t xml:space="preserve">, </w:t>
      </w:r>
      <w:r w:rsidR="00687FA2" w:rsidRPr="00702576">
        <w:rPr>
          <w:rFonts w:cstheme="minorHAnsi"/>
        </w:rPr>
        <w:t xml:space="preserve">the waiver should invest in other </w:t>
      </w:r>
      <w:r w:rsidR="008E471A" w:rsidRPr="00702576">
        <w:rPr>
          <w:rFonts w:cstheme="minorHAnsi"/>
        </w:rPr>
        <w:t xml:space="preserve">workforce development </w:t>
      </w:r>
      <w:r w:rsidR="00687FA2" w:rsidRPr="00702576">
        <w:rPr>
          <w:rFonts w:cstheme="minorHAnsi"/>
        </w:rPr>
        <w:t>partners, such as</w:t>
      </w:r>
      <w:r w:rsidR="00877E93" w:rsidRPr="00702576">
        <w:rPr>
          <w:rFonts w:cstheme="minorHAnsi"/>
        </w:rPr>
        <w:t xml:space="preserve"> Area Health Education Centers (</w:t>
      </w:r>
      <w:r w:rsidR="00687FA2" w:rsidRPr="00702576">
        <w:rPr>
          <w:rFonts w:cstheme="minorHAnsi"/>
        </w:rPr>
        <w:t>AHECs</w:t>
      </w:r>
      <w:r w:rsidR="00877E93" w:rsidRPr="00702576">
        <w:rPr>
          <w:rFonts w:cstheme="minorHAnsi"/>
        </w:rPr>
        <w:t>)</w:t>
      </w:r>
      <w:r w:rsidR="00687FA2" w:rsidRPr="00702576">
        <w:rPr>
          <w:rFonts w:cstheme="minorHAnsi"/>
        </w:rPr>
        <w:t xml:space="preserve"> and community colleges</w:t>
      </w:r>
      <w:r w:rsidR="00BB4251" w:rsidRPr="00702576">
        <w:rPr>
          <w:rFonts w:cstheme="minorHAnsi"/>
        </w:rPr>
        <w:t xml:space="preserve">, who have </w:t>
      </w:r>
      <w:r w:rsidR="00877E93" w:rsidRPr="00702576">
        <w:rPr>
          <w:rFonts w:cstheme="minorHAnsi"/>
        </w:rPr>
        <w:t>existing</w:t>
      </w:r>
      <w:r w:rsidR="00BB4251" w:rsidRPr="00702576">
        <w:rPr>
          <w:rFonts w:cstheme="minorHAnsi"/>
        </w:rPr>
        <w:t xml:space="preserve"> capacity to train </w:t>
      </w:r>
      <w:r w:rsidR="008C1B94" w:rsidRPr="00702576">
        <w:rPr>
          <w:rFonts w:cstheme="minorHAnsi"/>
        </w:rPr>
        <w:t xml:space="preserve">in expertise specific to primary care. </w:t>
      </w:r>
    </w:p>
    <w:p w14:paraId="6EF557F0" w14:textId="112263CE" w:rsidR="00D36550" w:rsidRDefault="00262432" w:rsidP="00F63F4A">
      <w:pPr>
        <w:rPr>
          <w:rFonts w:cstheme="minorHAnsi"/>
        </w:rPr>
      </w:pPr>
      <w:r>
        <w:rPr>
          <w:rFonts w:cstheme="minorHAnsi"/>
        </w:rPr>
        <w:t>We are</w:t>
      </w:r>
      <w:r w:rsidR="00877E93" w:rsidRPr="00702576">
        <w:rPr>
          <w:rFonts w:cstheme="minorHAnsi"/>
        </w:rPr>
        <w:t xml:space="preserve"> supportive of </w:t>
      </w:r>
      <w:r w:rsidR="008E471A" w:rsidRPr="00702576">
        <w:rPr>
          <w:rFonts w:cstheme="minorHAnsi"/>
        </w:rPr>
        <w:t xml:space="preserve">the waiver’s initiative to expand the Community Health Worker </w:t>
      </w:r>
      <w:r w:rsidR="005A6566">
        <w:rPr>
          <w:rFonts w:cstheme="minorHAnsi"/>
        </w:rPr>
        <w:t xml:space="preserve">(CHW) </w:t>
      </w:r>
      <w:r w:rsidR="008E471A" w:rsidRPr="00702576">
        <w:rPr>
          <w:rFonts w:cstheme="minorHAnsi"/>
        </w:rPr>
        <w:t xml:space="preserve">workforce. To </w:t>
      </w:r>
      <w:r w:rsidR="00B03342" w:rsidRPr="00702576">
        <w:rPr>
          <w:rFonts w:cstheme="minorHAnsi"/>
        </w:rPr>
        <w:t xml:space="preserve">bolster these efforts, </w:t>
      </w:r>
      <w:r w:rsidR="00D22CEB">
        <w:rPr>
          <w:rFonts w:cstheme="minorHAnsi"/>
        </w:rPr>
        <w:t>we</w:t>
      </w:r>
      <w:r w:rsidR="008E471A" w:rsidRPr="00702576">
        <w:rPr>
          <w:rFonts w:cstheme="minorHAnsi"/>
        </w:rPr>
        <w:t xml:space="preserve"> recomm</w:t>
      </w:r>
      <w:r w:rsidR="00B03342" w:rsidRPr="00702576">
        <w:rPr>
          <w:rFonts w:cstheme="minorHAnsi"/>
        </w:rPr>
        <w:t>end that the State empower a governing</w:t>
      </w:r>
      <w:r w:rsidR="005A4129" w:rsidRPr="00702576">
        <w:rPr>
          <w:rFonts w:cstheme="minorHAnsi"/>
        </w:rPr>
        <w:t xml:space="preserve"> body to </w:t>
      </w:r>
      <w:r w:rsidR="00BB4251" w:rsidRPr="00702576">
        <w:rPr>
          <w:rFonts w:cstheme="minorHAnsi"/>
        </w:rPr>
        <w:t>standardize certification, training standards, and</w:t>
      </w:r>
      <w:r w:rsidR="00D36550" w:rsidRPr="00702576">
        <w:rPr>
          <w:rFonts w:cstheme="minorHAnsi"/>
        </w:rPr>
        <w:t xml:space="preserve"> core competencies for CHWs. </w:t>
      </w:r>
      <w:r w:rsidR="008E471A" w:rsidRPr="00702576">
        <w:rPr>
          <w:rFonts w:cstheme="minorHAnsi"/>
        </w:rPr>
        <w:t xml:space="preserve">The State must also establish a long-term funding sustainability mechanism for Community Health Workers after the waiver period ends. </w:t>
      </w:r>
      <w:r w:rsidR="00603D5F" w:rsidRPr="00702576">
        <w:rPr>
          <w:rFonts w:cstheme="minorHAnsi"/>
        </w:rPr>
        <w:t xml:space="preserve">While this initiative will improve care and expand career pathways, the waiver should </w:t>
      </w:r>
      <w:r w:rsidR="0064783C" w:rsidRPr="00702576">
        <w:rPr>
          <w:rFonts w:cstheme="minorHAnsi"/>
        </w:rPr>
        <w:t xml:space="preserve">also </w:t>
      </w:r>
      <w:r w:rsidR="00603D5F" w:rsidRPr="00702576">
        <w:rPr>
          <w:rFonts w:cstheme="minorHAnsi"/>
        </w:rPr>
        <w:t>invest in development of career pathways and care delivery improvement through other health care titles as well</w:t>
      </w:r>
      <w:r w:rsidR="004655C0" w:rsidRPr="00702576">
        <w:rPr>
          <w:rFonts w:cstheme="minorHAnsi"/>
        </w:rPr>
        <w:t xml:space="preserve">, such as </w:t>
      </w:r>
      <w:r w:rsidR="000867F8">
        <w:rPr>
          <w:rFonts w:cstheme="minorHAnsi"/>
        </w:rPr>
        <w:t xml:space="preserve">dental support staff, </w:t>
      </w:r>
      <w:r w:rsidR="004655C0" w:rsidRPr="00702576">
        <w:rPr>
          <w:rFonts w:cstheme="minorHAnsi"/>
        </w:rPr>
        <w:t>nationally certified Medical Assistants</w:t>
      </w:r>
      <w:r w:rsidR="001D6B33">
        <w:rPr>
          <w:rFonts w:cstheme="minorHAnsi"/>
        </w:rPr>
        <w:t xml:space="preserve">, </w:t>
      </w:r>
      <w:r w:rsidR="00F20169">
        <w:rPr>
          <w:rFonts w:cstheme="minorHAnsi"/>
        </w:rPr>
        <w:t>h</w:t>
      </w:r>
      <w:r w:rsidR="009E5042">
        <w:rPr>
          <w:rFonts w:cstheme="minorHAnsi"/>
        </w:rPr>
        <w:t xml:space="preserve">ealth educators, </w:t>
      </w:r>
      <w:r w:rsidR="00E16F5D">
        <w:rPr>
          <w:rFonts w:cstheme="minorHAnsi"/>
        </w:rPr>
        <w:t>and</w:t>
      </w:r>
      <w:r w:rsidR="009E5042">
        <w:rPr>
          <w:rFonts w:cstheme="minorHAnsi"/>
        </w:rPr>
        <w:t xml:space="preserve"> care managers</w:t>
      </w:r>
      <w:r w:rsidR="00094FDB">
        <w:rPr>
          <w:rFonts w:cstheme="minorHAnsi"/>
        </w:rPr>
        <w:t>.</w:t>
      </w:r>
    </w:p>
    <w:p w14:paraId="7B12F22F" w14:textId="52BB08A5" w:rsidR="00D3625C" w:rsidRDefault="00CC743B" w:rsidP="00F63F4A">
      <w:pPr>
        <w:rPr>
          <w:rFonts w:cstheme="minorHAnsi"/>
        </w:rPr>
      </w:pPr>
      <w:r w:rsidRPr="00702576">
        <w:rPr>
          <w:rFonts w:cstheme="minorHAnsi"/>
        </w:rPr>
        <w:t xml:space="preserve">The ability to provide visits remotely has enhanced </w:t>
      </w:r>
      <w:r w:rsidR="00B319DD" w:rsidRPr="00702576">
        <w:rPr>
          <w:rFonts w:cstheme="minorHAnsi"/>
        </w:rPr>
        <w:t>FQHC</w:t>
      </w:r>
      <w:r w:rsidRPr="00702576">
        <w:rPr>
          <w:rFonts w:cstheme="minorHAnsi"/>
        </w:rPr>
        <w:t xml:space="preserve">s’ ability to attract behavioral health providers, as well as other needed health professionals. However, </w:t>
      </w:r>
      <w:r w:rsidR="0006323D" w:rsidRPr="00702576">
        <w:rPr>
          <w:rFonts w:cstheme="minorHAnsi"/>
        </w:rPr>
        <w:t xml:space="preserve">telehealth </w:t>
      </w:r>
      <w:r w:rsidRPr="00702576">
        <w:rPr>
          <w:rFonts w:cstheme="minorHAnsi"/>
        </w:rPr>
        <w:t xml:space="preserve">reimbursement disparity for </w:t>
      </w:r>
      <w:r w:rsidR="00B319DD" w:rsidRPr="00702576">
        <w:rPr>
          <w:rFonts w:cstheme="minorHAnsi"/>
        </w:rPr>
        <w:t>FQHC</w:t>
      </w:r>
      <w:r w:rsidRPr="00702576">
        <w:rPr>
          <w:rFonts w:cstheme="minorHAnsi"/>
        </w:rPr>
        <w:t xml:space="preserve">s remains a barrier. </w:t>
      </w:r>
      <w:r w:rsidR="00B319DD" w:rsidRPr="00702576">
        <w:rPr>
          <w:rFonts w:cstheme="minorHAnsi"/>
        </w:rPr>
        <w:t>FQHC</w:t>
      </w:r>
      <w:r w:rsidR="00AF602F" w:rsidRPr="00702576">
        <w:rPr>
          <w:rFonts w:cstheme="minorHAnsi"/>
        </w:rPr>
        <w:t xml:space="preserve">s continue to incur </w:t>
      </w:r>
      <w:r w:rsidR="0006323D" w:rsidRPr="00702576">
        <w:rPr>
          <w:rFonts w:cstheme="minorHAnsi"/>
        </w:rPr>
        <w:t xml:space="preserve">fixed </w:t>
      </w:r>
      <w:r w:rsidR="0064783C" w:rsidRPr="00702576">
        <w:rPr>
          <w:rFonts w:cstheme="minorHAnsi"/>
        </w:rPr>
        <w:t xml:space="preserve">personnel </w:t>
      </w:r>
      <w:r w:rsidR="00AF602F" w:rsidRPr="00702576">
        <w:rPr>
          <w:rFonts w:cstheme="minorHAnsi"/>
        </w:rPr>
        <w:t xml:space="preserve">costs </w:t>
      </w:r>
      <w:r w:rsidR="0064783C" w:rsidRPr="00702576">
        <w:rPr>
          <w:rFonts w:cstheme="minorHAnsi"/>
        </w:rPr>
        <w:t>along with</w:t>
      </w:r>
      <w:r w:rsidR="0006323D" w:rsidRPr="00702576">
        <w:rPr>
          <w:rFonts w:cstheme="minorHAnsi"/>
        </w:rPr>
        <w:t xml:space="preserve"> </w:t>
      </w:r>
      <w:r w:rsidR="00AF602F" w:rsidRPr="00702576">
        <w:rPr>
          <w:rFonts w:cstheme="minorHAnsi"/>
        </w:rPr>
        <w:t>operation and maintenance of their physical sites and</w:t>
      </w:r>
      <w:r w:rsidR="0064783C" w:rsidRPr="00702576">
        <w:rPr>
          <w:rFonts w:cstheme="minorHAnsi"/>
        </w:rPr>
        <w:t xml:space="preserve"> telehealth infrastructure </w:t>
      </w:r>
      <w:r w:rsidR="00AF602F" w:rsidRPr="00702576">
        <w:rPr>
          <w:rFonts w:cstheme="minorHAnsi"/>
        </w:rPr>
        <w:t>regardless of provider and patient locations</w:t>
      </w:r>
      <w:r w:rsidR="004A1A81" w:rsidRPr="00702576">
        <w:rPr>
          <w:rFonts w:cstheme="minorHAnsi"/>
        </w:rPr>
        <w:t>. Given the increased need for behavioral health services since the beginning of the pandemic, recruitment for behavioral health providers is extremely competitive</w:t>
      </w:r>
      <w:r w:rsidR="004F263E">
        <w:rPr>
          <w:rFonts w:cstheme="minorHAnsi"/>
        </w:rPr>
        <w:t xml:space="preserve"> and nearly impossible when searching for multi-</w:t>
      </w:r>
      <w:r w:rsidR="004F263E">
        <w:rPr>
          <w:rFonts w:cstheme="minorHAnsi"/>
        </w:rPr>
        <w:lastRenderedPageBreak/>
        <w:t>lingual providers.</w:t>
      </w:r>
      <w:r w:rsidR="004A1A81" w:rsidRPr="00702576">
        <w:rPr>
          <w:rFonts w:cstheme="minorHAnsi"/>
        </w:rPr>
        <w:t xml:space="preserve"> </w:t>
      </w:r>
      <w:r w:rsidR="00AF602F" w:rsidRPr="00702576">
        <w:rPr>
          <w:rFonts w:cstheme="minorHAnsi"/>
        </w:rPr>
        <w:t>Full telehealth payment parity is needed</w:t>
      </w:r>
      <w:r w:rsidR="0006323D" w:rsidRPr="00702576">
        <w:rPr>
          <w:rFonts w:cstheme="minorHAnsi"/>
        </w:rPr>
        <w:t xml:space="preserve"> regardless of provider and patient location</w:t>
      </w:r>
      <w:r w:rsidR="00AF602F" w:rsidRPr="00702576">
        <w:rPr>
          <w:rFonts w:cstheme="minorHAnsi"/>
        </w:rPr>
        <w:t xml:space="preserve"> to ensure that </w:t>
      </w:r>
      <w:r w:rsidR="00B319DD" w:rsidRPr="00702576">
        <w:rPr>
          <w:rFonts w:cstheme="minorHAnsi"/>
        </w:rPr>
        <w:t>FQHC</w:t>
      </w:r>
      <w:r w:rsidR="00AF602F" w:rsidRPr="00702576">
        <w:rPr>
          <w:rFonts w:cstheme="minorHAnsi"/>
        </w:rPr>
        <w:t>s have the</w:t>
      </w:r>
      <w:r w:rsidR="00655A96">
        <w:rPr>
          <w:rFonts w:cstheme="minorHAnsi"/>
        </w:rPr>
        <w:t xml:space="preserve"> </w:t>
      </w:r>
      <w:r w:rsidR="00AF602F" w:rsidRPr="00702576">
        <w:rPr>
          <w:rFonts w:cstheme="minorHAnsi"/>
        </w:rPr>
        <w:t>flexibility to recruit and retain providers and to meet patients</w:t>
      </w:r>
      <w:r w:rsidR="00FF79B1">
        <w:rPr>
          <w:rFonts w:cstheme="minorHAnsi"/>
        </w:rPr>
        <w:t>’ care needs</w:t>
      </w:r>
      <w:r w:rsidR="00AF602F" w:rsidRPr="00702576">
        <w:rPr>
          <w:rFonts w:cstheme="minorHAnsi"/>
        </w:rPr>
        <w:t xml:space="preserve">. </w:t>
      </w:r>
    </w:p>
    <w:p w14:paraId="1ECD3786" w14:textId="174B8EE1" w:rsidR="00F72B0C" w:rsidRDefault="00F72B0C" w:rsidP="00F63F4A">
      <w:pPr>
        <w:rPr>
          <w:rFonts w:cstheme="minorHAnsi"/>
        </w:rPr>
      </w:pPr>
      <w:r>
        <w:rPr>
          <w:rFonts w:cstheme="minorHAnsi"/>
        </w:rPr>
        <w:t xml:space="preserve">In addition to the workforce challenges listed above, </w:t>
      </w:r>
      <w:r w:rsidR="00AA5B6A">
        <w:rPr>
          <w:rFonts w:cstheme="minorHAnsi"/>
        </w:rPr>
        <w:t>New York</w:t>
      </w:r>
      <w:r w:rsidR="004538CB">
        <w:rPr>
          <w:rFonts w:cstheme="minorHAnsi"/>
        </w:rPr>
        <w:t xml:space="preserve"> State</w:t>
      </w:r>
      <w:r w:rsidR="00AA5B6A">
        <w:rPr>
          <w:rFonts w:cstheme="minorHAnsi"/>
        </w:rPr>
        <w:t xml:space="preserve"> is experiencing a workforce shortage of </w:t>
      </w:r>
      <w:r>
        <w:rPr>
          <w:rFonts w:cstheme="minorHAnsi"/>
        </w:rPr>
        <w:t>dental providers</w:t>
      </w:r>
      <w:r w:rsidR="00140BB9">
        <w:rPr>
          <w:rFonts w:cstheme="minorHAnsi"/>
        </w:rPr>
        <w:t>, including dentists, dental assistants, and dental support staff</w:t>
      </w:r>
      <w:r w:rsidR="00AA5B6A">
        <w:rPr>
          <w:rFonts w:cstheme="minorHAnsi"/>
        </w:rPr>
        <w:t>. FQHCs</w:t>
      </w:r>
      <w:r w:rsidR="00054022">
        <w:rPr>
          <w:rFonts w:cstheme="minorHAnsi"/>
        </w:rPr>
        <w:t xml:space="preserve"> </w:t>
      </w:r>
      <w:r w:rsidR="009C34B1">
        <w:rPr>
          <w:rFonts w:cstheme="minorHAnsi"/>
        </w:rPr>
        <w:t xml:space="preserve">have built robust </w:t>
      </w:r>
      <w:r w:rsidR="00293548">
        <w:rPr>
          <w:rFonts w:cstheme="minorHAnsi"/>
        </w:rPr>
        <w:t xml:space="preserve">oral health </w:t>
      </w:r>
      <w:r w:rsidR="009C34B1">
        <w:rPr>
          <w:rFonts w:cstheme="minorHAnsi"/>
        </w:rPr>
        <w:t>programs</w:t>
      </w:r>
      <w:r w:rsidR="006706C6">
        <w:rPr>
          <w:rFonts w:cstheme="minorHAnsi"/>
        </w:rPr>
        <w:t>. However,</w:t>
      </w:r>
      <w:r>
        <w:rPr>
          <w:rFonts w:cstheme="minorHAnsi"/>
        </w:rPr>
        <w:t xml:space="preserve"> </w:t>
      </w:r>
      <w:r w:rsidR="006706C6">
        <w:rPr>
          <w:rFonts w:cstheme="minorHAnsi"/>
        </w:rPr>
        <w:t>i</w:t>
      </w:r>
      <w:r w:rsidRPr="001D6C4C">
        <w:rPr>
          <w:rFonts w:cstheme="minorHAnsi"/>
        </w:rPr>
        <w:t xml:space="preserve">mproving oral health outcomes will require that many kinds of providers offer oral health services and that effective approaches embed oral health services across community institutions. Benefits already accrue from initiatives to provide oral health services in the places where people gather or go: Head Start programs, schools, pediatricians’ offices, </w:t>
      </w:r>
      <w:r w:rsidR="00D52273">
        <w:rPr>
          <w:rFonts w:cstheme="minorHAnsi"/>
        </w:rPr>
        <w:t>and</w:t>
      </w:r>
      <w:r w:rsidRPr="001D6C4C">
        <w:rPr>
          <w:rFonts w:cstheme="minorHAnsi"/>
        </w:rPr>
        <w:t xml:space="preserve"> </w:t>
      </w:r>
      <w:r w:rsidR="007746AB">
        <w:rPr>
          <w:rFonts w:cstheme="minorHAnsi"/>
        </w:rPr>
        <w:t>FQHCs</w:t>
      </w:r>
      <w:r w:rsidRPr="001D6C4C">
        <w:rPr>
          <w:rFonts w:cstheme="minorHAnsi"/>
        </w:rPr>
        <w:t>.</w:t>
      </w:r>
      <w:r w:rsidR="00D52273">
        <w:rPr>
          <w:rFonts w:cstheme="minorHAnsi"/>
        </w:rPr>
        <w:t xml:space="preserve"> Additional investment and attention </w:t>
      </w:r>
      <w:r w:rsidR="00D900A2">
        <w:rPr>
          <w:rFonts w:cstheme="minorHAnsi"/>
        </w:rPr>
        <w:t>are</w:t>
      </w:r>
      <w:r w:rsidR="00D52273">
        <w:rPr>
          <w:rFonts w:cstheme="minorHAnsi"/>
        </w:rPr>
        <w:t xml:space="preserve"> needed to </w:t>
      </w:r>
      <w:r w:rsidR="00FF0382">
        <w:rPr>
          <w:rFonts w:cstheme="minorHAnsi"/>
        </w:rPr>
        <w:t xml:space="preserve">expand the dental health workforce and </w:t>
      </w:r>
      <w:r w:rsidR="000738FF">
        <w:rPr>
          <w:rFonts w:cstheme="minorHAnsi"/>
        </w:rPr>
        <w:t xml:space="preserve">increase access to high quality dental care. </w:t>
      </w:r>
      <w:r w:rsidR="00D52273">
        <w:rPr>
          <w:rFonts w:cstheme="minorHAnsi"/>
        </w:rPr>
        <w:t xml:space="preserve"> </w:t>
      </w:r>
    </w:p>
    <w:p w14:paraId="1C8277D4" w14:textId="77777777" w:rsidR="00603D5F" w:rsidRPr="004E0F66" w:rsidRDefault="00603D5F" w:rsidP="00F63F4A">
      <w:pPr>
        <w:rPr>
          <w:rFonts w:cstheme="minorHAnsi"/>
          <w:b/>
          <w:bCs/>
          <w:u w:val="single"/>
        </w:rPr>
      </w:pPr>
      <w:r w:rsidRPr="004E0F66">
        <w:rPr>
          <w:rFonts w:cstheme="minorHAnsi"/>
          <w:b/>
          <w:bCs/>
          <w:u w:val="single"/>
        </w:rPr>
        <w:t>Governance</w:t>
      </w:r>
    </w:p>
    <w:p w14:paraId="7C6760CB" w14:textId="60E8DA9B" w:rsidR="00603D5F" w:rsidRPr="00702576" w:rsidRDefault="00603D5F" w:rsidP="00F63F4A">
      <w:pPr>
        <w:rPr>
          <w:rFonts w:cstheme="minorHAnsi"/>
        </w:rPr>
      </w:pPr>
      <w:r w:rsidRPr="00702576">
        <w:rPr>
          <w:rFonts w:cstheme="minorHAnsi"/>
        </w:rPr>
        <w:t xml:space="preserve">Given </w:t>
      </w:r>
      <w:r w:rsidR="008447F6">
        <w:rPr>
          <w:rFonts w:cstheme="minorHAnsi"/>
        </w:rPr>
        <w:t xml:space="preserve">our </w:t>
      </w:r>
      <w:r w:rsidRPr="00702576">
        <w:rPr>
          <w:rFonts w:cstheme="minorHAnsi"/>
        </w:rPr>
        <w:t xml:space="preserve">patient attribution and ability to advance primary care and prevention, </w:t>
      </w:r>
      <w:r w:rsidR="00B319DD" w:rsidRPr="00560B46">
        <w:rPr>
          <w:rFonts w:cstheme="minorHAnsi"/>
        </w:rPr>
        <w:t>FQHC</w:t>
      </w:r>
      <w:r w:rsidRPr="00560B46">
        <w:rPr>
          <w:rFonts w:cstheme="minorHAnsi"/>
        </w:rPr>
        <w:t>s must be represented in HERO governance and must be meaningful partners in HERO and SDHN networks and have representation on Clinical Advisory Groups.</w:t>
      </w:r>
      <w:r w:rsidRPr="00702576">
        <w:rPr>
          <w:rFonts w:cstheme="minorHAnsi"/>
        </w:rPr>
        <w:t xml:space="preserve"> </w:t>
      </w:r>
      <w:r w:rsidR="00B319DD" w:rsidRPr="00702576">
        <w:rPr>
          <w:rFonts w:cstheme="minorHAnsi"/>
        </w:rPr>
        <w:t>FQHC</w:t>
      </w:r>
      <w:r w:rsidRPr="00702576">
        <w:rPr>
          <w:rFonts w:cstheme="minorHAnsi"/>
        </w:rPr>
        <w:t xml:space="preserve">-led IPAs, who serve as the VBP contractor for many </w:t>
      </w:r>
      <w:r w:rsidR="00883223">
        <w:rPr>
          <w:rFonts w:cstheme="minorHAnsi"/>
        </w:rPr>
        <w:t>FQHCs</w:t>
      </w:r>
      <w:r w:rsidRPr="00702576">
        <w:rPr>
          <w:rFonts w:cstheme="minorHAnsi"/>
        </w:rPr>
        <w:t>, and School Based Health Centers (SBHCs), who provide medical, mental health and social services to meet the needs of their students and families, must also be incorporated into HERO and SDHN governance to leverage their existing work and</w:t>
      </w:r>
      <w:r w:rsidR="00300EBD">
        <w:rPr>
          <w:rFonts w:cstheme="minorHAnsi"/>
        </w:rPr>
        <w:t xml:space="preserve"> to</w:t>
      </w:r>
      <w:r w:rsidRPr="00702576">
        <w:rPr>
          <w:rFonts w:cstheme="minorHAnsi"/>
        </w:rPr>
        <w:t xml:space="preserve"> avoid duplication of resources and effort. </w:t>
      </w:r>
    </w:p>
    <w:p w14:paraId="47756B49" w14:textId="7BCCAE0A" w:rsidR="000245AC" w:rsidRDefault="00F63F4A" w:rsidP="00F63F4A">
      <w:pPr>
        <w:rPr>
          <w:rFonts w:cstheme="minorHAnsi"/>
          <w:b/>
          <w:bCs/>
        </w:rPr>
      </w:pPr>
      <w:r>
        <w:rPr>
          <w:rFonts w:cstheme="minorHAnsi"/>
          <w:b/>
          <w:bCs/>
        </w:rPr>
        <w:t>Contact</w:t>
      </w:r>
    </w:p>
    <w:p w14:paraId="36C957D6" w14:textId="3AAB1125" w:rsidR="00F63F4A" w:rsidRPr="00F63F4A" w:rsidRDefault="00F63F4A" w:rsidP="00F63F4A">
      <w:pPr>
        <w:rPr>
          <w:rFonts w:cstheme="minorHAnsi"/>
        </w:rPr>
      </w:pPr>
      <w:r>
        <w:rPr>
          <w:rFonts w:cstheme="minorHAnsi"/>
        </w:rPr>
        <w:t xml:space="preserve">With questions or follow up, please reach out to </w:t>
      </w:r>
      <w:r w:rsidR="00F95168" w:rsidRPr="00F95168">
        <w:rPr>
          <w:rFonts w:cstheme="minorHAnsi"/>
          <w:highlight w:val="yellow"/>
        </w:rPr>
        <w:t>NAME, TITLE, EMAIL</w:t>
      </w:r>
      <w:r>
        <w:rPr>
          <w:rFonts w:cstheme="minorHAnsi"/>
        </w:rPr>
        <w:t xml:space="preserve"> </w:t>
      </w:r>
    </w:p>
    <w:p w14:paraId="0D45B625" w14:textId="77777777" w:rsidR="00D3625C" w:rsidRPr="00702576" w:rsidRDefault="00D3625C" w:rsidP="00F63F4A">
      <w:pPr>
        <w:rPr>
          <w:rFonts w:cstheme="minorHAnsi"/>
          <w:b/>
          <w:bCs/>
        </w:rPr>
      </w:pPr>
    </w:p>
    <w:sectPr w:rsidR="00D3625C" w:rsidRPr="0070257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8AC6" w14:textId="77777777" w:rsidR="007D579A" w:rsidRDefault="007D579A" w:rsidP="00484D8A">
      <w:pPr>
        <w:spacing w:after="0" w:line="240" w:lineRule="auto"/>
      </w:pPr>
      <w:r>
        <w:separator/>
      </w:r>
    </w:p>
  </w:endnote>
  <w:endnote w:type="continuationSeparator" w:id="0">
    <w:p w14:paraId="57430440" w14:textId="77777777" w:rsidR="007D579A" w:rsidRDefault="007D579A" w:rsidP="00484D8A">
      <w:pPr>
        <w:spacing w:after="0" w:line="240" w:lineRule="auto"/>
      </w:pPr>
      <w:r>
        <w:continuationSeparator/>
      </w:r>
    </w:p>
  </w:endnote>
  <w:endnote w:type="continuationNotice" w:id="1">
    <w:p w14:paraId="41F1051F" w14:textId="77777777" w:rsidR="007D579A" w:rsidRDefault="007D5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062264"/>
      <w:docPartObj>
        <w:docPartGallery w:val="Page Numbers (Bottom of Page)"/>
        <w:docPartUnique/>
      </w:docPartObj>
    </w:sdtPr>
    <w:sdtEndPr>
      <w:rPr>
        <w:b/>
        <w:bCs/>
        <w:noProof/>
      </w:rPr>
    </w:sdtEndPr>
    <w:sdtContent>
      <w:p w14:paraId="344D055C" w14:textId="6689FBD1" w:rsidR="004655C0" w:rsidRPr="00F63F4A" w:rsidRDefault="002343D3">
        <w:pPr>
          <w:pStyle w:val="Footer"/>
          <w:rPr>
            <w:b/>
            <w:bCs/>
          </w:rPr>
        </w:pPr>
      </w:p>
    </w:sdtContent>
  </w:sdt>
  <w:p w14:paraId="2EA266E1" w14:textId="77777777" w:rsidR="004655C0" w:rsidRDefault="00465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E62E" w14:textId="77777777" w:rsidR="007D579A" w:rsidRDefault="007D579A" w:rsidP="00484D8A">
      <w:pPr>
        <w:spacing w:after="0" w:line="240" w:lineRule="auto"/>
      </w:pPr>
      <w:r>
        <w:separator/>
      </w:r>
    </w:p>
  </w:footnote>
  <w:footnote w:type="continuationSeparator" w:id="0">
    <w:p w14:paraId="769F1055" w14:textId="77777777" w:rsidR="007D579A" w:rsidRDefault="007D579A" w:rsidP="00484D8A">
      <w:pPr>
        <w:spacing w:after="0" w:line="240" w:lineRule="auto"/>
      </w:pPr>
      <w:r>
        <w:continuationSeparator/>
      </w:r>
    </w:p>
  </w:footnote>
  <w:footnote w:type="continuationNotice" w:id="1">
    <w:p w14:paraId="43655BD4" w14:textId="77777777" w:rsidR="007D579A" w:rsidRDefault="007D5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1455" w14:textId="77D64AC2" w:rsidR="00D96902" w:rsidRDefault="001541AA">
    <w:pPr>
      <w:pStyle w:val="Header"/>
      <w:rPr>
        <w:noProof/>
      </w:rPr>
    </w:pPr>
    <w:r w:rsidRPr="001541AA">
      <w:rPr>
        <w:noProof/>
        <w:highlight w:val="yellow"/>
      </w:rPr>
      <w:t>INSERT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4C3"/>
    <w:multiLevelType w:val="hybridMultilevel"/>
    <w:tmpl w:val="D57EE912"/>
    <w:lvl w:ilvl="0" w:tplc="1D1403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20693"/>
    <w:multiLevelType w:val="hybridMultilevel"/>
    <w:tmpl w:val="C8841866"/>
    <w:lvl w:ilvl="0" w:tplc="66AA2778">
      <w:numFmt w:val="bullet"/>
      <w:lvlText w:val=""/>
      <w:lvlJc w:val="left"/>
      <w:pPr>
        <w:ind w:left="820" w:hanging="360"/>
      </w:pPr>
      <w:rPr>
        <w:rFonts w:ascii="Symbol" w:eastAsia="Symbol" w:hAnsi="Symbol" w:cs="Symbol" w:hint="default"/>
        <w:w w:val="100"/>
        <w:sz w:val="22"/>
        <w:szCs w:val="22"/>
        <w:lang w:val="en-US" w:eastAsia="en-US" w:bidi="en-US"/>
      </w:rPr>
    </w:lvl>
    <w:lvl w:ilvl="1" w:tplc="898AEA62">
      <w:numFmt w:val="bullet"/>
      <w:lvlText w:val="•"/>
      <w:lvlJc w:val="left"/>
      <w:pPr>
        <w:ind w:left="1696" w:hanging="360"/>
      </w:pPr>
      <w:rPr>
        <w:rFonts w:hint="default"/>
        <w:lang w:val="en-US" w:eastAsia="en-US" w:bidi="en-US"/>
      </w:rPr>
    </w:lvl>
    <w:lvl w:ilvl="2" w:tplc="727CA1C4">
      <w:numFmt w:val="bullet"/>
      <w:lvlText w:val="•"/>
      <w:lvlJc w:val="left"/>
      <w:pPr>
        <w:ind w:left="2572" w:hanging="360"/>
      </w:pPr>
      <w:rPr>
        <w:rFonts w:hint="default"/>
        <w:lang w:val="en-US" w:eastAsia="en-US" w:bidi="en-US"/>
      </w:rPr>
    </w:lvl>
    <w:lvl w:ilvl="3" w:tplc="6F7411F2">
      <w:numFmt w:val="bullet"/>
      <w:lvlText w:val="•"/>
      <w:lvlJc w:val="left"/>
      <w:pPr>
        <w:ind w:left="3448" w:hanging="360"/>
      </w:pPr>
      <w:rPr>
        <w:rFonts w:hint="default"/>
        <w:lang w:val="en-US" w:eastAsia="en-US" w:bidi="en-US"/>
      </w:rPr>
    </w:lvl>
    <w:lvl w:ilvl="4" w:tplc="E64CB648">
      <w:numFmt w:val="bullet"/>
      <w:lvlText w:val="•"/>
      <w:lvlJc w:val="left"/>
      <w:pPr>
        <w:ind w:left="4324" w:hanging="360"/>
      </w:pPr>
      <w:rPr>
        <w:rFonts w:hint="default"/>
        <w:lang w:val="en-US" w:eastAsia="en-US" w:bidi="en-US"/>
      </w:rPr>
    </w:lvl>
    <w:lvl w:ilvl="5" w:tplc="5562FB36">
      <w:numFmt w:val="bullet"/>
      <w:lvlText w:val="•"/>
      <w:lvlJc w:val="left"/>
      <w:pPr>
        <w:ind w:left="5200" w:hanging="360"/>
      </w:pPr>
      <w:rPr>
        <w:rFonts w:hint="default"/>
        <w:lang w:val="en-US" w:eastAsia="en-US" w:bidi="en-US"/>
      </w:rPr>
    </w:lvl>
    <w:lvl w:ilvl="6" w:tplc="E11C76F8">
      <w:numFmt w:val="bullet"/>
      <w:lvlText w:val="•"/>
      <w:lvlJc w:val="left"/>
      <w:pPr>
        <w:ind w:left="6076" w:hanging="360"/>
      </w:pPr>
      <w:rPr>
        <w:rFonts w:hint="default"/>
        <w:lang w:val="en-US" w:eastAsia="en-US" w:bidi="en-US"/>
      </w:rPr>
    </w:lvl>
    <w:lvl w:ilvl="7" w:tplc="89CCD480">
      <w:numFmt w:val="bullet"/>
      <w:lvlText w:val="•"/>
      <w:lvlJc w:val="left"/>
      <w:pPr>
        <w:ind w:left="6952" w:hanging="360"/>
      </w:pPr>
      <w:rPr>
        <w:rFonts w:hint="default"/>
        <w:lang w:val="en-US" w:eastAsia="en-US" w:bidi="en-US"/>
      </w:rPr>
    </w:lvl>
    <w:lvl w:ilvl="8" w:tplc="F2DEE4E0">
      <w:numFmt w:val="bullet"/>
      <w:lvlText w:val="•"/>
      <w:lvlJc w:val="left"/>
      <w:pPr>
        <w:ind w:left="7828" w:hanging="360"/>
      </w:pPr>
      <w:rPr>
        <w:rFonts w:hint="default"/>
        <w:lang w:val="en-US" w:eastAsia="en-US" w:bidi="en-US"/>
      </w:rPr>
    </w:lvl>
  </w:abstractNum>
  <w:abstractNum w:abstractNumId="2" w15:restartNumberingAfterBreak="0">
    <w:nsid w:val="50E5254F"/>
    <w:multiLevelType w:val="hybridMultilevel"/>
    <w:tmpl w:val="45309866"/>
    <w:lvl w:ilvl="0" w:tplc="67081170">
      <w:start w:val="5"/>
      <w:numFmt w:val="bullet"/>
      <w:lvlText w:val="-"/>
      <w:lvlJc w:val="left"/>
      <w:pPr>
        <w:ind w:left="720" w:hanging="360"/>
      </w:pPr>
      <w:rPr>
        <w:rFonts w:ascii="Merriweather" w:eastAsiaTheme="minorHAnsi" w:hAnsi="Merriweath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82FA3"/>
    <w:multiLevelType w:val="hybridMultilevel"/>
    <w:tmpl w:val="FDFA1964"/>
    <w:lvl w:ilvl="0" w:tplc="665E97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881389">
    <w:abstractNumId w:val="2"/>
  </w:num>
  <w:num w:numId="2" w16cid:durableId="1466894616">
    <w:abstractNumId w:val="0"/>
  </w:num>
  <w:num w:numId="3" w16cid:durableId="597717640">
    <w:abstractNumId w:val="1"/>
  </w:num>
  <w:num w:numId="4" w16cid:durableId="563219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D3"/>
    <w:rsid w:val="000001A6"/>
    <w:rsid w:val="000008A6"/>
    <w:rsid w:val="00002DC3"/>
    <w:rsid w:val="00012771"/>
    <w:rsid w:val="00016397"/>
    <w:rsid w:val="00016778"/>
    <w:rsid w:val="000225CA"/>
    <w:rsid w:val="000245AC"/>
    <w:rsid w:val="00024B58"/>
    <w:rsid w:val="00032F83"/>
    <w:rsid w:val="00033459"/>
    <w:rsid w:val="000352DF"/>
    <w:rsid w:val="0004319B"/>
    <w:rsid w:val="000448EC"/>
    <w:rsid w:val="00044CFD"/>
    <w:rsid w:val="000469AE"/>
    <w:rsid w:val="000530CE"/>
    <w:rsid w:val="00054022"/>
    <w:rsid w:val="0005433A"/>
    <w:rsid w:val="00054626"/>
    <w:rsid w:val="000552E5"/>
    <w:rsid w:val="000604C1"/>
    <w:rsid w:val="0006323D"/>
    <w:rsid w:val="0006611A"/>
    <w:rsid w:val="000677FD"/>
    <w:rsid w:val="000738FF"/>
    <w:rsid w:val="000744FE"/>
    <w:rsid w:val="000749B6"/>
    <w:rsid w:val="00080C64"/>
    <w:rsid w:val="00083CA9"/>
    <w:rsid w:val="000867F8"/>
    <w:rsid w:val="00087162"/>
    <w:rsid w:val="000926D9"/>
    <w:rsid w:val="00092A69"/>
    <w:rsid w:val="00094815"/>
    <w:rsid w:val="00094FDB"/>
    <w:rsid w:val="000958C5"/>
    <w:rsid w:val="000A03B3"/>
    <w:rsid w:val="000A322A"/>
    <w:rsid w:val="000A445F"/>
    <w:rsid w:val="000A54D6"/>
    <w:rsid w:val="000A631F"/>
    <w:rsid w:val="000B03C0"/>
    <w:rsid w:val="000B164B"/>
    <w:rsid w:val="000B2296"/>
    <w:rsid w:val="000B423C"/>
    <w:rsid w:val="000B7B70"/>
    <w:rsid w:val="000C003C"/>
    <w:rsid w:val="000C1BB4"/>
    <w:rsid w:val="000C2258"/>
    <w:rsid w:val="000C5A72"/>
    <w:rsid w:val="000C5D64"/>
    <w:rsid w:val="000F4208"/>
    <w:rsid w:val="000F6101"/>
    <w:rsid w:val="00104C6E"/>
    <w:rsid w:val="001077F9"/>
    <w:rsid w:val="00114082"/>
    <w:rsid w:val="00117158"/>
    <w:rsid w:val="00117AFE"/>
    <w:rsid w:val="001211EF"/>
    <w:rsid w:val="00122B58"/>
    <w:rsid w:val="00124D6D"/>
    <w:rsid w:val="00127A58"/>
    <w:rsid w:val="00130D45"/>
    <w:rsid w:val="001313DB"/>
    <w:rsid w:val="00131F91"/>
    <w:rsid w:val="00134785"/>
    <w:rsid w:val="00134AF0"/>
    <w:rsid w:val="00136D68"/>
    <w:rsid w:val="00140BB9"/>
    <w:rsid w:val="00146564"/>
    <w:rsid w:val="00153F41"/>
    <w:rsid w:val="001541AA"/>
    <w:rsid w:val="00156495"/>
    <w:rsid w:val="0017206A"/>
    <w:rsid w:val="0017297C"/>
    <w:rsid w:val="0017383D"/>
    <w:rsid w:val="00176CD1"/>
    <w:rsid w:val="00177E2D"/>
    <w:rsid w:val="00182154"/>
    <w:rsid w:val="001832F4"/>
    <w:rsid w:val="001872D7"/>
    <w:rsid w:val="00192EF6"/>
    <w:rsid w:val="00194DFF"/>
    <w:rsid w:val="00196A5C"/>
    <w:rsid w:val="00197EFF"/>
    <w:rsid w:val="001A146B"/>
    <w:rsid w:val="001A2AF3"/>
    <w:rsid w:val="001A7ACA"/>
    <w:rsid w:val="001B222B"/>
    <w:rsid w:val="001B2F1D"/>
    <w:rsid w:val="001C0BA8"/>
    <w:rsid w:val="001D1641"/>
    <w:rsid w:val="001D2780"/>
    <w:rsid w:val="001D6B33"/>
    <w:rsid w:val="001D6C4C"/>
    <w:rsid w:val="001E2426"/>
    <w:rsid w:val="001E550F"/>
    <w:rsid w:val="001E65C5"/>
    <w:rsid w:val="001F5EEC"/>
    <w:rsid w:val="001F699A"/>
    <w:rsid w:val="00201002"/>
    <w:rsid w:val="00220835"/>
    <w:rsid w:val="002210B0"/>
    <w:rsid w:val="0022401E"/>
    <w:rsid w:val="0022464C"/>
    <w:rsid w:val="002329E1"/>
    <w:rsid w:val="00232EEC"/>
    <w:rsid w:val="002343D3"/>
    <w:rsid w:val="00236559"/>
    <w:rsid w:val="00237FE8"/>
    <w:rsid w:val="002416D0"/>
    <w:rsid w:val="0024476C"/>
    <w:rsid w:val="0024712C"/>
    <w:rsid w:val="00250984"/>
    <w:rsid w:val="00251EB5"/>
    <w:rsid w:val="0025212A"/>
    <w:rsid w:val="0025457F"/>
    <w:rsid w:val="00257263"/>
    <w:rsid w:val="00257491"/>
    <w:rsid w:val="00262432"/>
    <w:rsid w:val="00271357"/>
    <w:rsid w:val="00273248"/>
    <w:rsid w:val="0027588E"/>
    <w:rsid w:val="00275DDD"/>
    <w:rsid w:val="002762F8"/>
    <w:rsid w:val="00276372"/>
    <w:rsid w:val="00287346"/>
    <w:rsid w:val="00293548"/>
    <w:rsid w:val="0029635C"/>
    <w:rsid w:val="002A1CCD"/>
    <w:rsid w:val="002A2896"/>
    <w:rsid w:val="002A36CC"/>
    <w:rsid w:val="002A4459"/>
    <w:rsid w:val="002A62DB"/>
    <w:rsid w:val="002A632A"/>
    <w:rsid w:val="002A6EF5"/>
    <w:rsid w:val="002B5BD9"/>
    <w:rsid w:val="002D4E83"/>
    <w:rsid w:val="002D6F5F"/>
    <w:rsid w:val="002F2C8B"/>
    <w:rsid w:val="003000C8"/>
    <w:rsid w:val="00300EBD"/>
    <w:rsid w:val="003051C9"/>
    <w:rsid w:val="00307F6F"/>
    <w:rsid w:val="0031187F"/>
    <w:rsid w:val="0032196C"/>
    <w:rsid w:val="003220F3"/>
    <w:rsid w:val="0032760F"/>
    <w:rsid w:val="003342A1"/>
    <w:rsid w:val="003354ED"/>
    <w:rsid w:val="00335748"/>
    <w:rsid w:val="00337348"/>
    <w:rsid w:val="00347A8D"/>
    <w:rsid w:val="00347D26"/>
    <w:rsid w:val="00347E5C"/>
    <w:rsid w:val="003622A8"/>
    <w:rsid w:val="003719B2"/>
    <w:rsid w:val="00375ADD"/>
    <w:rsid w:val="00376C12"/>
    <w:rsid w:val="00385687"/>
    <w:rsid w:val="003920CA"/>
    <w:rsid w:val="003926BC"/>
    <w:rsid w:val="0039335C"/>
    <w:rsid w:val="003A0AE1"/>
    <w:rsid w:val="003A2E2E"/>
    <w:rsid w:val="003A467D"/>
    <w:rsid w:val="003A6AA5"/>
    <w:rsid w:val="003B06C8"/>
    <w:rsid w:val="003B0983"/>
    <w:rsid w:val="003C2295"/>
    <w:rsid w:val="003C24F7"/>
    <w:rsid w:val="003C3F8E"/>
    <w:rsid w:val="003C535D"/>
    <w:rsid w:val="003D00F5"/>
    <w:rsid w:val="003D1D9D"/>
    <w:rsid w:val="003D2C5F"/>
    <w:rsid w:val="003D3668"/>
    <w:rsid w:val="003E0DA2"/>
    <w:rsid w:val="003E30B3"/>
    <w:rsid w:val="003E647A"/>
    <w:rsid w:val="003E6B2C"/>
    <w:rsid w:val="004010BC"/>
    <w:rsid w:val="00403EF1"/>
    <w:rsid w:val="004059A5"/>
    <w:rsid w:val="00405DD6"/>
    <w:rsid w:val="00413E78"/>
    <w:rsid w:val="00415562"/>
    <w:rsid w:val="004219C8"/>
    <w:rsid w:val="00424251"/>
    <w:rsid w:val="00427975"/>
    <w:rsid w:val="00435FD5"/>
    <w:rsid w:val="00440527"/>
    <w:rsid w:val="0044286C"/>
    <w:rsid w:val="004534A2"/>
    <w:rsid w:val="004538CB"/>
    <w:rsid w:val="00453FAD"/>
    <w:rsid w:val="00462C87"/>
    <w:rsid w:val="004655C0"/>
    <w:rsid w:val="00471B9F"/>
    <w:rsid w:val="00480C27"/>
    <w:rsid w:val="0048461A"/>
    <w:rsid w:val="00484D8A"/>
    <w:rsid w:val="00485215"/>
    <w:rsid w:val="004856CA"/>
    <w:rsid w:val="00490BB5"/>
    <w:rsid w:val="004914AC"/>
    <w:rsid w:val="004A1305"/>
    <w:rsid w:val="004A1A81"/>
    <w:rsid w:val="004A675D"/>
    <w:rsid w:val="004B1354"/>
    <w:rsid w:val="004B452B"/>
    <w:rsid w:val="004B4905"/>
    <w:rsid w:val="004C1E46"/>
    <w:rsid w:val="004C6436"/>
    <w:rsid w:val="004D05A2"/>
    <w:rsid w:val="004D14C7"/>
    <w:rsid w:val="004E0F66"/>
    <w:rsid w:val="004E40D7"/>
    <w:rsid w:val="004E4C20"/>
    <w:rsid w:val="004E5062"/>
    <w:rsid w:val="004E50F5"/>
    <w:rsid w:val="004E5D3A"/>
    <w:rsid w:val="004F263E"/>
    <w:rsid w:val="004F3006"/>
    <w:rsid w:val="004F5ADB"/>
    <w:rsid w:val="004F61B8"/>
    <w:rsid w:val="004F6E67"/>
    <w:rsid w:val="00501D03"/>
    <w:rsid w:val="00507E69"/>
    <w:rsid w:val="00511831"/>
    <w:rsid w:val="00513830"/>
    <w:rsid w:val="005138B4"/>
    <w:rsid w:val="00514368"/>
    <w:rsid w:val="005170C4"/>
    <w:rsid w:val="005338FC"/>
    <w:rsid w:val="00533CD2"/>
    <w:rsid w:val="00533D33"/>
    <w:rsid w:val="0053465D"/>
    <w:rsid w:val="00537D2B"/>
    <w:rsid w:val="005444DB"/>
    <w:rsid w:val="00545326"/>
    <w:rsid w:val="00556A1A"/>
    <w:rsid w:val="00560B46"/>
    <w:rsid w:val="00561A35"/>
    <w:rsid w:val="00565D34"/>
    <w:rsid w:val="005672DD"/>
    <w:rsid w:val="00571AB7"/>
    <w:rsid w:val="00573838"/>
    <w:rsid w:val="00574982"/>
    <w:rsid w:val="005777B0"/>
    <w:rsid w:val="00580928"/>
    <w:rsid w:val="00580B88"/>
    <w:rsid w:val="00581D7E"/>
    <w:rsid w:val="00585690"/>
    <w:rsid w:val="005856E7"/>
    <w:rsid w:val="00585E67"/>
    <w:rsid w:val="00586D8D"/>
    <w:rsid w:val="00590ED0"/>
    <w:rsid w:val="00591DEC"/>
    <w:rsid w:val="0059494B"/>
    <w:rsid w:val="005A4129"/>
    <w:rsid w:val="005A6566"/>
    <w:rsid w:val="005A7345"/>
    <w:rsid w:val="005B69CA"/>
    <w:rsid w:val="005D31DB"/>
    <w:rsid w:val="005D57BA"/>
    <w:rsid w:val="005E110E"/>
    <w:rsid w:val="005E5F6C"/>
    <w:rsid w:val="005F6FC8"/>
    <w:rsid w:val="00601F51"/>
    <w:rsid w:val="00603C70"/>
    <w:rsid w:val="00603D5F"/>
    <w:rsid w:val="00604CA4"/>
    <w:rsid w:val="0060653C"/>
    <w:rsid w:val="0060655D"/>
    <w:rsid w:val="00607B52"/>
    <w:rsid w:val="00615E35"/>
    <w:rsid w:val="006169C0"/>
    <w:rsid w:val="0061754D"/>
    <w:rsid w:val="00620F77"/>
    <w:rsid w:val="00623D5E"/>
    <w:rsid w:val="00626F86"/>
    <w:rsid w:val="00630BF9"/>
    <w:rsid w:val="00632D92"/>
    <w:rsid w:val="00637DCF"/>
    <w:rsid w:val="00640086"/>
    <w:rsid w:val="00643FBE"/>
    <w:rsid w:val="0064470D"/>
    <w:rsid w:val="006456A8"/>
    <w:rsid w:val="006476A8"/>
    <w:rsid w:val="0064783C"/>
    <w:rsid w:val="00647C32"/>
    <w:rsid w:val="00651FA8"/>
    <w:rsid w:val="00655A96"/>
    <w:rsid w:val="00656C79"/>
    <w:rsid w:val="00656D6E"/>
    <w:rsid w:val="0066034B"/>
    <w:rsid w:val="00661017"/>
    <w:rsid w:val="006634FD"/>
    <w:rsid w:val="00664066"/>
    <w:rsid w:val="00665BA9"/>
    <w:rsid w:val="006706C6"/>
    <w:rsid w:val="00672DCD"/>
    <w:rsid w:val="0067625E"/>
    <w:rsid w:val="00677E92"/>
    <w:rsid w:val="00687FA2"/>
    <w:rsid w:val="00697F17"/>
    <w:rsid w:val="006A3935"/>
    <w:rsid w:val="006A39DC"/>
    <w:rsid w:val="006A4597"/>
    <w:rsid w:val="006A5764"/>
    <w:rsid w:val="006B420F"/>
    <w:rsid w:val="006C53ED"/>
    <w:rsid w:val="006C59AE"/>
    <w:rsid w:val="006D6955"/>
    <w:rsid w:val="006D6A8E"/>
    <w:rsid w:val="006E1709"/>
    <w:rsid w:val="006E7C96"/>
    <w:rsid w:val="006F18D4"/>
    <w:rsid w:val="006F2BFE"/>
    <w:rsid w:val="006F5274"/>
    <w:rsid w:val="00702576"/>
    <w:rsid w:val="00710296"/>
    <w:rsid w:val="00710C2F"/>
    <w:rsid w:val="00712C8F"/>
    <w:rsid w:val="00715C05"/>
    <w:rsid w:val="007168B2"/>
    <w:rsid w:val="00717067"/>
    <w:rsid w:val="007224E0"/>
    <w:rsid w:val="0072517E"/>
    <w:rsid w:val="007260A0"/>
    <w:rsid w:val="007275E0"/>
    <w:rsid w:val="007301AE"/>
    <w:rsid w:val="00733451"/>
    <w:rsid w:val="00742B90"/>
    <w:rsid w:val="00742C05"/>
    <w:rsid w:val="007431AA"/>
    <w:rsid w:val="00754E09"/>
    <w:rsid w:val="00756B92"/>
    <w:rsid w:val="00760201"/>
    <w:rsid w:val="00760946"/>
    <w:rsid w:val="00761689"/>
    <w:rsid w:val="00762E3F"/>
    <w:rsid w:val="007666C3"/>
    <w:rsid w:val="00772C46"/>
    <w:rsid w:val="007732BC"/>
    <w:rsid w:val="007746AB"/>
    <w:rsid w:val="007816B5"/>
    <w:rsid w:val="00790222"/>
    <w:rsid w:val="00793C1A"/>
    <w:rsid w:val="0079644B"/>
    <w:rsid w:val="007A56B6"/>
    <w:rsid w:val="007B2DDB"/>
    <w:rsid w:val="007B337B"/>
    <w:rsid w:val="007B5D01"/>
    <w:rsid w:val="007C059C"/>
    <w:rsid w:val="007C34EF"/>
    <w:rsid w:val="007D0737"/>
    <w:rsid w:val="007D219C"/>
    <w:rsid w:val="007D3B20"/>
    <w:rsid w:val="007D3F49"/>
    <w:rsid w:val="007D4A7E"/>
    <w:rsid w:val="007D579A"/>
    <w:rsid w:val="007E2345"/>
    <w:rsid w:val="007F245E"/>
    <w:rsid w:val="007F2774"/>
    <w:rsid w:val="007F60CB"/>
    <w:rsid w:val="008042A5"/>
    <w:rsid w:val="00806C36"/>
    <w:rsid w:val="00807DB4"/>
    <w:rsid w:val="008127F8"/>
    <w:rsid w:val="00813E34"/>
    <w:rsid w:val="00816DDE"/>
    <w:rsid w:val="0081726B"/>
    <w:rsid w:val="00830D13"/>
    <w:rsid w:val="0083632E"/>
    <w:rsid w:val="008377EB"/>
    <w:rsid w:val="00842F28"/>
    <w:rsid w:val="008447F6"/>
    <w:rsid w:val="00864DA6"/>
    <w:rsid w:val="00866532"/>
    <w:rsid w:val="00872D63"/>
    <w:rsid w:val="00873744"/>
    <w:rsid w:val="008739CD"/>
    <w:rsid w:val="00873BC4"/>
    <w:rsid w:val="008763FB"/>
    <w:rsid w:val="00877E93"/>
    <w:rsid w:val="00883223"/>
    <w:rsid w:val="00884823"/>
    <w:rsid w:val="00885A71"/>
    <w:rsid w:val="00886977"/>
    <w:rsid w:val="00886B3C"/>
    <w:rsid w:val="008A33B8"/>
    <w:rsid w:val="008B61F0"/>
    <w:rsid w:val="008C1B94"/>
    <w:rsid w:val="008C1E49"/>
    <w:rsid w:val="008C3225"/>
    <w:rsid w:val="008C5C8C"/>
    <w:rsid w:val="008D0D11"/>
    <w:rsid w:val="008D4311"/>
    <w:rsid w:val="008D6616"/>
    <w:rsid w:val="008E471A"/>
    <w:rsid w:val="008E48BD"/>
    <w:rsid w:val="008F06D9"/>
    <w:rsid w:val="00900C17"/>
    <w:rsid w:val="00901498"/>
    <w:rsid w:val="00901BBC"/>
    <w:rsid w:val="00901C09"/>
    <w:rsid w:val="00903C22"/>
    <w:rsid w:val="009044E9"/>
    <w:rsid w:val="00906836"/>
    <w:rsid w:val="009071AF"/>
    <w:rsid w:val="0090765B"/>
    <w:rsid w:val="009116BA"/>
    <w:rsid w:val="009146D8"/>
    <w:rsid w:val="00920255"/>
    <w:rsid w:val="00922483"/>
    <w:rsid w:val="009225A1"/>
    <w:rsid w:val="00935500"/>
    <w:rsid w:val="0094075A"/>
    <w:rsid w:val="0094124D"/>
    <w:rsid w:val="00941573"/>
    <w:rsid w:val="00944554"/>
    <w:rsid w:val="00946C08"/>
    <w:rsid w:val="00950ACC"/>
    <w:rsid w:val="00951F95"/>
    <w:rsid w:val="00955248"/>
    <w:rsid w:val="009565A4"/>
    <w:rsid w:val="009623DE"/>
    <w:rsid w:val="00964289"/>
    <w:rsid w:val="00970B41"/>
    <w:rsid w:val="00972D70"/>
    <w:rsid w:val="009777CA"/>
    <w:rsid w:val="009812F7"/>
    <w:rsid w:val="009874A3"/>
    <w:rsid w:val="00996ACD"/>
    <w:rsid w:val="009A314D"/>
    <w:rsid w:val="009B3254"/>
    <w:rsid w:val="009B464B"/>
    <w:rsid w:val="009C34B1"/>
    <w:rsid w:val="009D3B47"/>
    <w:rsid w:val="009D481C"/>
    <w:rsid w:val="009D4C5C"/>
    <w:rsid w:val="009D6298"/>
    <w:rsid w:val="009D6AA9"/>
    <w:rsid w:val="009E15DF"/>
    <w:rsid w:val="009E5042"/>
    <w:rsid w:val="009E5AAE"/>
    <w:rsid w:val="009E7BFC"/>
    <w:rsid w:val="009ECEB4"/>
    <w:rsid w:val="009F0B50"/>
    <w:rsid w:val="009F0E2E"/>
    <w:rsid w:val="009F328F"/>
    <w:rsid w:val="009F4286"/>
    <w:rsid w:val="009F696B"/>
    <w:rsid w:val="00A057D5"/>
    <w:rsid w:val="00A0755A"/>
    <w:rsid w:val="00A078F5"/>
    <w:rsid w:val="00A1614E"/>
    <w:rsid w:val="00A3243C"/>
    <w:rsid w:val="00A337F3"/>
    <w:rsid w:val="00A35BA0"/>
    <w:rsid w:val="00A3699E"/>
    <w:rsid w:val="00A4022B"/>
    <w:rsid w:val="00A44DB9"/>
    <w:rsid w:val="00A44DD2"/>
    <w:rsid w:val="00A4715C"/>
    <w:rsid w:val="00A533F9"/>
    <w:rsid w:val="00A545D0"/>
    <w:rsid w:val="00A57D89"/>
    <w:rsid w:val="00A65200"/>
    <w:rsid w:val="00A67FAF"/>
    <w:rsid w:val="00A70DE7"/>
    <w:rsid w:val="00A86CE9"/>
    <w:rsid w:val="00A87D3F"/>
    <w:rsid w:val="00A930BD"/>
    <w:rsid w:val="00AA3F7F"/>
    <w:rsid w:val="00AA5B6A"/>
    <w:rsid w:val="00AB3D3E"/>
    <w:rsid w:val="00AB3F46"/>
    <w:rsid w:val="00AC5FDC"/>
    <w:rsid w:val="00AC70FB"/>
    <w:rsid w:val="00AC716E"/>
    <w:rsid w:val="00AE748D"/>
    <w:rsid w:val="00AF5021"/>
    <w:rsid w:val="00AF5F15"/>
    <w:rsid w:val="00AF602F"/>
    <w:rsid w:val="00AF642D"/>
    <w:rsid w:val="00AF6EC2"/>
    <w:rsid w:val="00B0094B"/>
    <w:rsid w:val="00B016E2"/>
    <w:rsid w:val="00B028F3"/>
    <w:rsid w:val="00B030BF"/>
    <w:rsid w:val="00B03342"/>
    <w:rsid w:val="00B06817"/>
    <w:rsid w:val="00B069AE"/>
    <w:rsid w:val="00B079DE"/>
    <w:rsid w:val="00B15D8B"/>
    <w:rsid w:val="00B24E01"/>
    <w:rsid w:val="00B26E39"/>
    <w:rsid w:val="00B310A3"/>
    <w:rsid w:val="00B319DD"/>
    <w:rsid w:val="00B32B3F"/>
    <w:rsid w:val="00B36793"/>
    <w:rsid w:val="00B37739"/>
    <w:rsid w:val="00B51910"/>
    <w:rsid w:val="00B567A8"/>
    <w:rsid w:val="00B66190"/>
    <w:rsid w:val="00B66B26"/>
    <w:rsid w:val="00B67C0E"/>
    <w:rsid w:val="00B8162F"/>
    <w:rsid w:val="00B860BE"/>
    <w:rsid w:val="00B91363"/>
    <w:rsid w:val="00B93D2E"/>
    <w:rsid w:val="00B955B3"/>
    <w:rsid w:val="00B95A58"/>
    <w:rsid w:val="00BA5DA3"/>
    <w:rsid w:val="00BA6570"/>
    <w:rsid w:val="00BA6689"/>
    <w:rsid w:val="00BA7F1E"/>
    <w:rsid w:val="00BB08B7"/>
    <w:rsid w:val="00BB4251"/>
    <w:rsid w:val="00BC25DB"/>
    <w:rsid w:val="00BC305C"/>
    <w:rsid w:val="00BC361E"/>
    <w:rsid w:val="00BC3C61"/>
    <w:rsid w:val="00BC6564"/>
    <w:rsid w:val="00BC6AED"/>
    <w:rsid w:val="00BD4C0A"/>
    <w:rsid w:val="00BD6A17"/>
    <w:rsid w:val="00BE0B3D"/>
    <w:rsid w:val="00BE43F1"/>
    <w:rsid w:val="00BE7A0D"/>
    <w:rsid w:val="00BE7C44"/>
    <w:rsid w:val="00BF121D"/>
    <w:rsid w:val="00BF5D84"/>
    <w:rsid w:val="00BF63E7"/>
    <w:rsid w:val="00BF6BCE"/>
    <w:rsid w:val="00C026E3"/>
    <w:rsid w:val="00C06E46"/>
    <w:rsid w:val="00C07608"/>
    <w:rsid w:val="00C13871"/>
    <w:rsid w:val="00C16F01"/>
    <w:rsid w:val="00C17895"/>
    <w:rsid w:val="00C257FE"/>
    <w:rsid w:val="00C327E4"/>
    <w:rsid w:val="00C32C68"/>
    <w:rsid w:val="00C417DC"/>
    <w:rsid w:val="00C46A97"/>
    <w:rsid w:val="00C52604"/>
    <w:rsid w:val="00C57A7F"/>
    <w:rsid w:val="00C61797"/>
    <w:rsid w:val="00C66B24"/>
    <w:rsid w:val="00C75CF8"/>
    <w:rsid w:val="00C90408"/>
    <w:rsid w:val="00C90E2A"/>
    <w:rsid w:val="00C91C04"/>
    <w:rsid w:val="00C94531"/>
    <w:rsid w:val="00CB10D1"/>
    <w:rsid w:val="00CB7746"/>
    <w:rsid w:val="00CC078E"/>
    <w:rsid w:val="00CC10B5"/>
    <w:rsid w:val="00CC2A2C"/>
    <w:rsid w:val="00CC2B2D"/>
    <w:rsid w:val="00CC40E4"/>
    <w:rsid w:val="00CC743B"/>
    <w:rsid w:val="00CD2F8F"/>
    <w:rsid w:val="00CD3406"/>
    <w:rsid w:val="00CD5A42"/>
    <w:rsid w:val="00CD6DE6"/>
    <w:rsid w:val="00CE074B"/>
    <w:rsid w:val="00CE0D5A"/>
    <w:rsid w:val="00CE239B"/>
    <w:rsid w:val="00CE5631"/>
    <w:rsid w:val="00CE6B94"/>
    <w:rsid w:val="00CF1F30"/>
    <w:rsid w:val="00CF36C1"/>
    <w:rsid w:val="00CF44BA"/>
    <w:rsid w:val="00CF47BE"/>
    <w:rsid w:val="00D01DB4"/>
    <w:rsid w:val="00D0720E"/>
    <w:rsid w:val="00D07DCC"/>
    <w:rsid w:val="00D159F6"/>
    <w:rsid w:val="00D168CC"/>
    <w:rsid w:val="00D20E9B"/>
    <w:rsid w:val="00D22CEB"/>
    <w:rsid w:val="00D24CBD"/>
    <w:rsid w:val="00D30F2E"/>
    <w:rsid w:val="00D34AA9"/>
    <w:rsid w:val="00D35590"/>
    <w:rsid w:val="00D3625C"/>
    <w:rsid w:val="00D36550"/>
    <w:rsid w:val="00D37CE6"/>
    <w:rsid w:val="00D4124C"/>
    <w:rsid w:val="00D44FDC"/>
    <w:rsid w:val="00D52273"/>
    <w:rsid w:val="00D55325"/>
    <w:rsid w:val="00D643E8"/>
    <w:rsid w:val="00D763EF"/>
    <w:rsid w:val="00D879C1"/>
    <w:rsid w:val="00D879CE"/>
    <w:rsid w:val="00D900A2"/>
    <w:rsid w:val="00D95713"/>
    <w:rsid w:val="00D96902"/>
    <w:rsid w:val="00D97242"/>
    <w:rsid w:val="00DA1BA0"/>
    <w:rsid w:val="00DA2500"/>
    <w:rsid w:val="00DA3939"/>
    <w:rsid w:val="00DA7F77"/>
    <w:rsid w:val="00DB4AF0"/>
    <w:rsid w:val="00DB5EFE"/>
    <w:rsid w:val="00DC3747"/>
    <w:rsid w:val="00DC39A4"/>
    <w:rsid w:val="00DD2449"/>
    <w:rsid w:val="00DE2B4B"/>
    <w:rsid w:val="00DE463C"/>
    <w:rsid w:val="00DE5F4C"/>
    <w:rsid w:val="00DF04E1"/>
    <w:rsid w:val="00DF08FE"/>
    <w:rsid w:val="00DF0F1F"/>
    <w:rsid w:val="00E04977"/>
    <w:rsid w:val="00E06432"/>
    <w:rsid w:val="00E07ADA"/>
    <w:rsid w:val="00E10F4E"/>
    <w:rsid w:val="00E119EE"/>
    <w:rsid w:val="00E11CBA"/>
    <w:rsid w:val="00E16F5D"/>
    <w:rsid w:val="00E17AC9"/>
    <w:rsid w:val="00E21736"/>
    <w:rsid w:val="00E238C5"/>
    <w:rsid w:val="00E23EF8"/>
    <w:rsid w:val="00E31F57"/>
    <w:rsid w:val="00E347C0"/>
    <w:rsid w:val="00E35612"/>
    <w:rsid w:val="00E3638D"/>
    <w:rsid w:val="00E36731"/>
    <w:rsid w:val="00E40482"/>
    <w:rsid w:val="00E40C8F"/>
    <w:rsid w:val="00E42AE3"/>
    <w:rsid w:val="00E51AE1"/>
    <w:rsid w:val="00E5570A"/>
    <w:rsid w:val="00E60729"/>
    <w:rsid w:val="00E66880"/>
    <w:rsid w:val="00E74C14"/>
    <w:rsid w:val="00E74F36"/>
    <w:rsid w:val="00E76B0F"/>
    <w:rsid w:val="00E779BE"/>
    <w:rsid w:val="00E93A11"/>
    <w:rsid w:val="00E95C73"/>
    <w:rsid w:val="00E96C1B"/>
    <w:rsid w:val="00EA3AB4"/>
    <w:rsid w:val="00EA5003"/>
    <w:rsid w:val="00EB095C"/>
    <w:rsid w:val="00EB43F2"/>
    <w:rsid w:val="00EB72E3"/>
    <w:rsid w:val="00EC045E"/>
    <w:rsid w:val="00EC10DE"/>
    <w:rsid w:val="00EC1441"/>
    <w:rsid w:val="00EC219C"/>
    <w:rsid w:val="00ED083C"/>
    <w:rsid w:val="00ED1419"/>
    <w:rsid w:val="00ED763E"/>
    <w:rsid w:val="00EE3355"/>
    <w:rsid w:val="00EE3690"/>
    <w:rsid w:val="00EE40B7"/>
    <w:rsid w:val="00EE5CD3"/>
    <w:rsid w:val="00EF1544"/>
    <w:rsid w:val="00EF2C82"/>
    <w:rsid w:val="00EF563D"/>
    <w:rsid w:val="00EF6EC6"/>
    <w:rsid w:val="00F01898"/>
    <w:rsid w:val="00F022EB"/>
    <w:rsid w:val="00F02563"/>
    <w:rsid w:val="00F15F41"/>
    <w:rsid w:val="00F16725"/>
    <w:rsid w:val="00F20169"/>
    <w:rsid w:val="00F221B9"/>
    <w:rsid w:val="00F26D00"/>
    <w:rsid w:val="00F34825"/>
    <w:rsid w:val="00F34A9D"/>
    <w:rsid w:val="00F37B3D"/>
    <w:rsid w:val="00F43823"/>
    <w:rsid w:val="00F45508"/>
    <w:rsid w:val="00F456FA"/>
    <w:rsid w:val="00F542D7"/>
    <w:rsid w:val="00F60893"/>
    <w:rsid w:val="00F6121D"/>
    <w:rsid w:val="00F615A5"/>
    <w:rsid w:val="00F63F4A"/>
    <w:rsid w:val="00F72B0C"/>
    <w:rsid w:val="00F75BA2"/>
    <w:rsid w:val="00F86EC2"/>
    <w:rsid w:val="00F91AD3"/>
    <w:rsid w:val="00F92E6F"/>
    <w:rsid w:val="00F95168"/>
    <w:rsid w:val="00FA065B"/>
    <w:rsid w:val="00FA2BBD"/>
    <w:rsid w:val="00FB3268"/>
    <w:rsid w:val="00FC0510"/>
    <w:rsid w:val="00FC3F72"/>
    <w:rsid w:val="00FC45C1"/>
    <w:rsid w:val="00FC5598"/>
    <w:rsid w:val="00FC6794"/>
    <w:rsid w:val="00FD0659"/>
    <w:rsid w:val="00FD5646"/>
    <w:rsid w:val="00FD7712"/>
    <w:rsid w:val="00FD7802"/>
    <w:rsid w:val="00FE28AD"/>
    <w:rsid w:val="00FE41DA"/>
    <w:rsid w:val="00FE4515"/>
    <w:rsid w:val="00FF0382"/>
    <w:rsid w:val="00FF44EF"/>
    <w:rsid w:val="00FF461A"/>
    <w:rsid w:val="00FF79B1"/>
    <w:rsid w:val="013D8E40"/>
    <w:rsid w:val="0203B02A"/>
    <w:rsid w:val="032C9BA0"/>
    <w:rsid w:val="03935964"/>
    <w:rsid w:val="03BCD2CD"/>
    <w:rsid w:val="049BDFA6"/>
    <w:rsid w:val="04F3776B"/>
    <w:rsid w:val="0713512B"/>
    <w:rsid w:val="07B48B0A"/>
    <w:rsid w:val="085A35C5"/>
    <w:rsid w:val="0950992C"/>
    <w:rsid w:val="0D82E162"/>
    <w:rsid w:val="0EB9AF36"/>
    <w:rsid w:val="0ECC2A48"/>
    <w:rsid w:val="0EDA3C6B"/>
    <w:rsid w:val="0F35BB41"/>
    <w:rsid w:val="0F8CF3BE"/>
    <w:rsid w:val="105FBD2E"/>
    <w:rsid w:val="1074F3BD"/>
    <w:rsid w:val="114AC60D"/>
    <w:rsid w:val="145BD255"/>
    <w:rsid w:val="152C0BB8"/>
    <w:rsid w:val="170522EB"/>
    <w:rsid w:val="18DA0C39"/>
    <w:rsid w:val="1957D257"/>
    <w:rsid w:val="1B10306E"/>
    <w:rsid w:val="1CA0514B"/>
    <w:rsid w:val="1EB45234"/>
    <w:rsid w:val="237548EA"/>
    <w:rsid w:val="23D7ED62"/>
    <w:rsid w:val="241F43FE"/>
    <w:rsid w:val="2444090A"/>
    <w:rsid w:val="24488D72"/>
    <w:rsid w:val="2487A91A"/>
    <w:rsid w:val="24963CCD"/>
    <w:rsid w:val="24A08738"/>
    <w:rsid w:val="24C36D20"/>
    <w:rsid w:val="25F8D453"/>
    <w:rsid w:val="26675B45"/>
    <w:rsid w:val="290FE678"/>
    <w:rsid w:val="2A46950F"/>
    <w:rsid w:val="2C8AAD33"/>
    <w:rsid w:val="2CF82288"/>
    <w:rsid w:val="2D7171B9"/>
    <w:rsid w:val="2F31797E"/>
    <w:rsid w:val="302D8173"/>
    <w:rsid w:val="30B89030"/>
    <w:rsid w:val="30BDA107"/>
    <w:rsid w:val="331F93CE"/>
    <w:rsid w:val="335A968D"/>
    <w:rsid w:val="33AFB362"/>
    <w:rsid w:val="33C8E636"/>
    <w:rsid w:val="3603069B"/>
    <w:rsid w:val="36A1C5BD"/>
    <w:rsid w:val="37935F39"/>
    <w:rsid w:val="382E42BF"/>
    <w:rsid w:val="38759BE5"/>
    <w:rsid w:val="3A3A78F6"/>
    <w:rsid w:val="3A88341B"/>
    <w:rsid w:val="3AF6B7C5"/>
    <w:rsid w:val="3E88865C"/>
    <w:rsid w:val="3F1E349B"/>
    <w:rsid w:val="40667493"/>
    <w:rsid w:val="41636126"/>
    <w:rsid w:val="4207164B"/>
    <w:rsid w:val="435B37A6"/>
    <w:rsid w:val="4361B94D"/>
    <w:rsid w:val="4376F12D"/>
    <w:rsid w:val="44F64079"/>
    <w:rsid w:val="45B34AA2"/>
    <w:rsid w:val="47A7FADA"/>
    <w:rsid w:val="47E852D4"/>
    <w:rsid w:val="47F43E27"/>
    <w:rsid w:val="48BC3844"/>
    <w:rsid w:val="492F836E"/>
    <w:rsid w:val="49574B59"/>
    <w:rsid w:val="4C32F69B"/>
    <w:rsid w:val="50B54467"/>
    <w:rsid w:val="510DFE10"/>
    <w:rsid w:val="529AE44F"/>
    <w:rsid w:val="52B08BCE"/>
    <w:rsid w:val="52FA4953"/>
    <w:rsid w:val="53347141"/>
    <w:rsid w:val="54C7053D"/>
    <w:rsid w:val="5636A78B"/>
    <w:rsid w:val="56792B66"/>
    <w:rsid w:val="56B38B76"/>
    <w:rsid w:val="56C67FFD"/>
    <w:rsid w:val="576EC744"/>
    <w:rsid w:val="58FE3E05"/>
    <w:rsid w:val="5B061D3E"/>
    <w:rsid w:val="5F7F68CF"/>
    <w:rsid w:val="61E02B0E"/>
    <w:rsid w:val="62CA4335"/>
    <w:rsid w:val="63D32A4F"/>
    <w:rsid w:val="64D43C02"/>
    <w:rsid w:val="6739403F"/>
    <w:rsid w:val="6742CCCA"/>
    <w:rsid w:val="683D9237"/>
    <w:rsid w:val="69950F59"/>
    <w:rsid w:val="69B74F05"/>
    <w:rsid w:val="6A1974F8"/>
    <w:rsid w:val="6AC3700C"/>
    <w:rsid w:val="6BB28C58"/>
    <w:rsid w:val="6C3ADDB6"/>
    <w:rsid w:val="6C819975"/>
    <w:rsid w:val="6CA96160"/>
    <w:rsid w:val="6CC3CEED"/>
    <w:rsid w:val="6DE7E9E9"/>
    <w:rsid w:val="6DFD8F9C"/>
    <w:rsid w:val="6EFDFB75"/>
    <w:rsid w:val="6FF99307"/>
    <w:rsid w:val="70B93EAF"/>
    <w:rsid w:val="7109BC4D"/>
    <w:rsid w:val="719AFF3E"/>
    <w:rsid w:val="7233BDE3"/>
    <w:rsid w:val="724AE1DA"/>
    <w:rsid w:val="729E6971"/>
    <w:rsid w:val="73CC0E9F"/>
    <w:rsid w:val="74E5E6EE"/>
    <w:rsid w:val="78B79ED5"/>
    <w:rsid w:val="7AD66CA8"/>
    <w:rsid w:val="7C4AB717"/>
    <w:rsid w:val="7D77313A"/>
    <w:rsid w:val="7F4E1C5F"/>
    <w:rsid w:val="7FC10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6208"/>
  <w15:chartTrackingRefBased/>
  <w15:docId w15:val="{1705E6F1-52D7-4A61-AAF0-5F61CF84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41"/>
    <w:pPr>
      <w:ind w:left="720"/>
      <w:contextualSpacing/>
    </w:pPr>
  </w:style>
  <w:style w:type="character" w:styleId="CommentReference">
    <w:name w:val="annotation reference"/>
    <w:basedOn w:val="DefaultParagraphFont"/>
    <w:uiPriority w:val="99"/>
    <w:semiHidden/>
    <w:unhideWhenUsed/>
    <w:rsid w:val="008D6616"/>
    <w:rPr>
      <w:sz w:val="16"/>
      <w:szCs w:val="16"/>
    </w:rPr>
  </w:style>
  <w:style w:type="paragraph" w:styleId="CommentText">
    <w:name w:val="annotation text"/>
    <w:basedOn w:val="Normal"/>
    <w:link w:val="CommentTextChar"/>
    <w:uiPriority w:val="99"/>
    <w:unhideWhenUsed/>
    <w:rsid w:val="008D6616"/>
    <w:pPr>
      <w:spacing w:line="240" w:lineRule="auto"/>
    </w:pPr>
    <w:rPr>
      <w:sz w:val="20"/>
      <w:szCs w:val="20"/>
    </w:rPr>
  </w:style>
  <w:style w:type="character" w:customStyle="1" w:styleId="CommentTextChar">
    <w:name w:val="Comment Text Char"/>
    <w:basedOn w:val="DefaultParagraphFont"/>
    <w:link w:val="CommentText"/>
    <w:uiPriority w:val="99"/>
    <w:rsid w:val="008D6616"/>
    <w:rPr>
      <w:sz w:val="20"/>
      <w:szCs w:val="20"/>
    </w:rPr>
  </w:style>
  <w:style w:type="paragraph" w:styleId="CommentSubject">
    <w:name w:val="annotation subject"/>
    <w:basedOn w:val="CommentText"/>
    <w:next w:val="CommentText"/>
    <w:link w:val="CommentSubjectChar"/>
    <w:uiPriority w:val="99"/>
    <w:semiHidden/>
    <w:unhideWhenUsed/>
    <w:rsid w:val="008D6616"/>
    <w:rPr>
      <w:b/>
      <w:bCs/>
    </w:rPr>
  </w:style>
  <w:style w:type="character" w:customStyle="1" w:styleId="CommentSubjectChar">
    <w:name w:val="Comment Subject Char"/>
    <w:basedOn w:val="CommentTextChar"/>
    <w:link w:val="CommentSubject"/>
    <w:uiPriority w:val="99"/>
    <w:semiHidden/>
    <w:rsid w:val="008D6616"/>
    <w:rPr>
      <w:b/>
      <w:bCs/>
      <w:sz w:val="20"/>
      <w:szCs w:val="20"/>
    </w:rPr>
  </w:style>
  <w:style w:type="paragraph" w:styleId="Header">
    <w:name w:val="header"/>
    <w:basedOn w:val="Normal"/>
    <w:link w:val="HeaderChar"/>
    <w:uiPriority w:val="99"/>
    <w:unhideWhenUsed/>
    <w:rsid w:val="00484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8A"/>
  </w:style>
  <w:style w:type="paragraph" w:styleId="Footer">
    <w:name w:val="footer"/>
    <w:basedOn w:val="Normal"/>
    <w:link w:val="FooterChar"/>
    <w:uiPriority w:val="99"/>
    <w:unhideWhenUsed/>
    <w:rsid w:val="0048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8A"/>
  </w:style>
  <w:style w:type="paragraph" w:styleId="Revision">
    <w:name w:val="Revision"/>
    <w:hidden/>
    <w:uiPriority w:val="99"/>
    <w:semiHidden/>
    <w:rsid w:val="00B66190"/>
    <w:pPr>
      <w:spacing w:after="0" w:line="240" w:lineRule="auto"/>
    </w:pPr>
  </w:style>
  <w:style w:type="paragraph" w:customStyle="1" w:styleId="Default">
    <w:name w:val="Default"/>
    <w:rsid w:val="000225C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763EF"/>
    <w:rPr>
      <w:color w:val="0563C1" w:themeColor="hyperlink"/>
      <w:u w:val="single"/>
    </w:rPr>
  </w:style>
  <w:style w:type="character" w:styleId="UnresolvedMention">
    <w:name w:val="Unresolved Mention"/>
    <w:basedOn w:val="DefaultParagraphFont"/>
    <w:uiPriority w:val="99"/>
    <w:semiHidden/>
    <w:unhideWhenUsed/>
    <w:rsid w:val="00D763EF"/>
    <w:rPr>
      <w:color w:val="605E5C"/>
      <w:shd w:val="clear" w:color="auto" w:fill="E1DFDD"/>
    </w:rPr>
  </w:style>
  <w:style w:type="paragraph" w:styleId="BodyText">
    <w:name w:val="Body Text"/>
    <w:basedOn w:val="Normal"/>
    <w:link w:val="BodyTextChar"/>
    <w:uiPriority w:val="1"/>
    <w:qFormat/>
    <w:rsid w:val="00FD7802"/>
    <w:pPr>
      <w:widowControl w:val="0"/>
      <w:autoSpaceDE w:val="0"/>
      <w:autoSpaceDN w:val="0"/>
      <w:spacing w:after="0" w:line="240" w:lineRule="auto"/>
      <w:ind w:left="820"/>
    </w:pPr>
    <w:rPr>
      <w:rFonts w:ascii="Book Antiqua" w:eastAsia="Book Antiqua" w:hAnsi="Book Antiqua" w:cs="Book Antiqua"/>
      <w:lang w:bidi="en-US"/>
    </w:rPr>
  </w:style>
  <w:style w:type="character" w:customStyle="1" w:styleId="BodyTextChar">
    <w:name w:val="Body Text Char"/>
    <w:basedOn w:val="DefaultParagraphFont"/>
    <w:link w:val="BodyText"/>
    <w:uiPriority w:val="1"/>
    <w:rsid w:val="00FD7802"/>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58290">
      <w:bodyDiv w:val="1"/>
      <w:marLeft w:val="0"/>
      <w:marRight w:val="0"/>
      <w:marTop w:val="0"/>
      <w:marBottom w:val="0"/>
      <w:divBdr>
        <w:top w:val="none" w:sz="0" w:space="0" w:color="auto"/>
        <w:left w:val="none" w:sz="0" w:space="0" w:color="auto"/>
        <w:bottom w:val="none" w:sz="0" w:space="0" w:color="auto"/>
        <w:right w:val="none" w:sz="0" w:space="0" w:color="auto"/>
      </w:divBdr>
    </w:div>
    <w:div w:id="1700812152">
      <w:bodyDiv w:val="1"/>
      <w:marLeft w:val="0"/>
      <w:marRight w:val="0"/>
      <w:marTop w:val="0"/>
      <w:marBottom w:val="0"/>
      <w:divBdr>
        <w:top w:val="none" w:sz="0" w:space="0" w:color="auto"/>
        <w:left w:val="none" w:sz="0" w:space="0" w:color="auto"/>
        <w:bottom w:val="none" w:sz="0" w:space="0" w:color="auto"/>
        <w:right w:val="none" w:sz="0" w:space="0" w:color="auto"/>
      </w:divBdr>
    </w:div>
    <w:div w:id="1769307748">
      <w:bodyDiv w:val="1"/>
      <w:marLeft w:val="0"/>
      <w:marRight w:val="0"/>
      <w:marTop w:val="0"/>
      <w:marBottom w:val="0"/>
      <w:divBdr>
        <w:top w:val="none" w:sz="0" w:space="0" w:color="auto"/>
        <w:left w:val="none" w:sz="0" w:space="0" w:color="auto"/>
        <w:bottom w:val="none" w:sz="0" w:space="0" w:color="auto"/>
        <w:right w:val="none" w:sz="0" w:space="0" w:color="auto"/>
      </w:divBdr>
    </w:div>
    <w:div w:id="20863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DC29A6421DEE4F8CBC2D9D363FC71E" ma:contentTypeVersion="12" ma:contentTypeDescription="Create a new document." ma:contentTypeScope="" ma:versionID="4e13c9f84849351dcbf913ca87dea333">
  <xsd:schema xmlns:xsd="http://www.w3.org/2001/XMLSchema" xmlns:xs="http://www.w3.org/2001/XMLSchema" xmlns:p="http://schemas.microsoft.com/office/2006/metadata/properties" xmlns:ns2="e846ccab-d56a-434f-8aa3-23adc3498772" xmlns:ns3="e2333224-8482-4852-a090-c7078bef5e6d" targetNamespace="http://schemas.microsoft.com/office/2006/metadata/properties" ma:root="true" ma:fieldsID="84ff1ed1e99ba930a180e3500264a6f2" ns2:_="" ns3:_="">
    <xsd:import namespace="e846ccab-d56a-434f-8aa3-23adc3498772"/>
    <xsd:import namespace="e2333224-8482-4852-a090-c7078bef5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ccab-d56a-434f-8aa3-23adc3498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33224-8482-4852-a090-c7078bef5e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333224-8482-4852-a090-c7078bef5e6d">
      <UserInfo>
        <DisplayName>Marie Mongeon</DisplayName>
        <AccountId>12</AccountId>
        <AccountType/>
      </UserInfo>
    </SharedWithUsers>
  </documentManagement>
</p:properties>
</file>

<file path=customXml/itemProps1.xml><?xml version="1.0" encoding="utf-8"?>
<ds:datastoreItem xmlns:ds="http://schemas.openxmlformats.org/officeDocument/2006/customXml" ds:itemID="{7212C2DE-350D-4C3E-A469-E02E7A393B54}">
  <ds:schemaRefs>
    <ds:schemaRef ds:uri="http://schemas.microsoft.com/sharepoint/v3/contenttype/forms"/>
  </ds:schemaRefs>
</ds:datastoreItem>
</file>

<file path=customXml/itemProps2.xml><?xml version="1.0" encoding="utf-8"?>
<ds:datastoreItem xmlns:ds="http://schemas.openxmlformats.org/officeDocument/2006/customXml" ds:itemID="{2A9EDE86-099F-4A72-B37A-5C6FA3E84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ccab-d56a-434f-8aa3-23adc3498772"/>
    <ds:schemaRef ds:uri="e2333224-8482-4852-a090-c7078bef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03E59-9D1A-4541-B848-031611365A76}">
  <ds:schemaRefs>
    <ds:schemaRef ds:uri="http://schemas.microsoft.com/office/2006/metadata/properties"/>
    <ds:schemaRef ds:uri="http://schemas.microsoft.com/office/infopath/2007/PartnerControls"/>
    <ds:schemaRef ds:uri="e2333224-8482-4852-a090-c7078bef5e6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Mongeon</dc:creator>
  <cp:keywords/>
  <cp:lastModifiedBy>Jane Ni</cp:lastModifiedBy>
  <cp:revision>26</cp:revision>
  <cp:lastPrinted>2022-10-11T17:50:00Z</cp:lastPrinted>
  <dcterms:created xsi:type="dcterms:W3CDTF">2022-10-11T17:50:00Z</dcterms:created>
  <dcterms:modified xsi:type="dcterms:W3CDTF">2022-10-11T18:55:00Z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0x01010038DC29A6421DEE4F8CBC2D9D363FC71E</vt:lpwstr>
  </property>
</Properties>
</file>